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76"/>
          <w:sz w:val="24"/>
        </w:rPr>
      </w:pPr>
      <w:r>
        <w:rPr>
          <w:rFonts w:hint="eastAsia" w:ascii="仿宋" w:hAnsi="仿宋" w:eastAsia="仿宋" w:cs="仿宋"/>
          <w:b/>
          <w:spacing w:val="76"/>
          <w:sz w:val="24"/>
        </w:rPr>
      </w:r>
      <w:r/>
    </w:p>
    <w:p>
      <w:pPr>
        <w:rPr>
          <w:rFonts w:hint="eastAsia" w:ascii="仿宋" w:hAnsi="仿宋" w:eastAsia="仿宋" w:cs="仿宋"/>
          <w:b/>
          <w:spacing w:val="76"/>
          <w:sz w:val="24"/>
        </w:rPr>
      </w:pPr>
      <w:r>
        <w:rPr>
          <w:rFonts w:hint="eastAsia" w:ascii="仿宋" w:hAnsi="仿宋" w:eastAsia="仿宋" w:cs="仿宋"/>
          <w:b/>
          <w:spacing w:val="76"/>
          <w:sz w:val="24"/>
        </w:rPr>
      </w:r>
      <w:r/>
    </w:p>
    <w:p>
      <w:pPr>
        <w:jc w:val="center"/>
        <w:rPr>
          <w:rFonts w:hint="eastAsia" w:ascii="仿宋" w:hAnsi="仿宋" w:eastAsia="仿宋" w:cs="仿宋"/>
          <w:b/>
          <w:spacing w:val="76"/>
          <w:sz w:val="24"/>
        </w:rPr>
      </w:pPr>
      <w:r>
        <w:rPr>
          <w:rFonts w:hint="eastAsia" w:ascii="仿宋" w:hAnsi="仿宋" w:eastAsia="仿宋" w:cs="仿宋"/>
          <w:b/>
          <w:spacing w:val="76"/>
          <w:sz w:val="24"/>
        </w:rPr>
      </w:r>
      <w:r/>
    </w:p>
    <w:p>
      <w:pPr>
        <w:pStyle w:val="833"/>
        <w:ind w:firstLine="0"/>
        <w:rPr>
          <w:rFonts w:hint="eastAsia" w:ascii="仿宋" w:hAnsi="仿宋" w:eastAsia="仿宋" w:cs="仿宋"/>
          <w:b/>
          <w:spacing w:val="76"/>
          <w:sz w:val="24"/>
        </w:rPr>
      </w:pPr>
      <w:r>
        <w:rPr>
          <w:rFonts w:hint="eastAsia" w:ascii="仿宋" w:hAnsi="仿宋" w:eastAsia="仿宋" w:cs="仿宋"/>
          <w:b/>
          <w:spacing w:val="76"/>
          <w:sz w:val="24"/>
        </w:rPr>
      </w:r>
      <w:r/>
    </w:p>
    <w:p>
      <w:pPr>
        <w:pStyle w:val="833"/>
        <w:rPr>
          <w:rFonts w:hint="eastAsia" w:ascii="仿宋" w:hAnsi="仿宋" w:eastAsia="仿宋" w:cs="仿宋"/>
          <w:b/>
          <w:spacing w:val="76"/>
          <w:sz w:val="24"/>
        </w:rPr>
      </w:pPr>
      <w:r>
        <w:rPr>
          <w:rFonts w:hint="eastAsia" w:ascii="仿宋" w:hAnsi="仿宋" w:eastAsia="仿宋" w:cs="仿宋"/>
          <w:b/>
          <w:spacing w:val="76"/>
          <w:sz w:val="24"/>
        </w:rPr>
      </w:r>
      <w:r/>
    </w:p>
    <w:p>
      <w:pPr>
        <w:jc w:val="center"/>
        <w:rPr>
          <w:rFonts w:hint="eastAsia" w:ascii="仿宋" w:hAnsi="仿宋" w:eastAsia="仿宋" w:cs="仿宋"/>
          <w:b/>
          <w:spacing w:val="76"/>
          <w:sz w:val="156"/>
        </w:rPr>
      </w:pPr>
      <w:r>
        <w:rPr>
          <w:rFonts w:hint="eastAsia" w:ascii="仿宋" w:hAnsi="仿宋" w:eastAsia="仿宋" w:cs="仿宋"/>
          <w:b/>
          <w:spacing w:val="76"/>
          <w:sz w:val="156"/>
        </w:rPr>
        <w:t xml:space="preserve">招标文件</w:t>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eastAsia="宋体"/>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1494790</wp:posOffset>
                </wp:positionH>
                <wp:positionV relativeFrom="paragraph">
                  <wp:posOffset>119380</wp:posOffset>
                </wp:positionV>
                <wp:extent cx="2586355" cy="2474595"/>
                <wp:effectExtent l="0" t="0" r="4445" b="9525"/>
                <wp:wrapNone/>
                <wp:docPr id="3" name="图片 7" descr="维正标识"/>
                <wp:cNvGraphicFramePr/>
                <a:graphic xmlns:a="http://schemas.openxmlformats.org/drawingml/2006/main">
                  <a:graphicData uri="http://schemas.openxmlformats.org/drawingml/2006/picture">
                    <pic:pic xmlns:pic="http://schemas.openxmlformats.org/drawingml/2006/picture">
                      <pic:nvPicPr>
                        <pic:cNvPr id="1026" name="图片 7" descr="维正标识"/>
                        <pic:cNvPicPr/>
                        <pic:nvPr/>
                      </pic:nvPicPr>
                      <pic:blipFill>
                        <a:blip r:embed="rId14"/>
                        <a:srcRect l="0" t="0" r="108" b="4430"/>
                        <a:stretch/>
                      </pic:blipFill>
                      <pic:spPr bwMode="auto">
                        <a:xfrm>
                          <a:off x="0" y="0"/>
                          <a:ext cx="2586354" cy="247459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7.7pt;mso-position-horizontal:absolute;mso-position-vertical-relative:text;margin-top:9.4pt;mso-position-vertical:absolute;width:203.6pt;height:194.8pt;mso-wrap-distance-left:0.0pt;mso-wrap-distance-top:0.0pt;mso-wrap-distance-right:0.0pt;mso-wrap-distance-bottom:0.0pt;" stroked="f">
                <v:path textboxrect="0,0,0,0"/>
                <v:imagedata r:id="rId14" o:title=""/>
              </v:shape>
            </w:pict>
          </mc:Fallback>
        </mc:AlternateContent>
      </w:r>
      <w:r/>
    </w:p>
    <w:p>
      <w:pPr>
        <w:rPr>
          <w:rFonts w:hint="eastAsia" w:ascii="仿宋" w:hAnsi="仿宋" w:eastAsia="仿宋" w:cs="仿宋"/>
          <w:sz w:val="32"/>
        </w:rPr>
      </w:pPr>
      <w:r>
        <w:rPr>
          <w:rFonts w:hint="eastAsia" w:ascii="仿宋" w:hAnsi="仿宋" w:eastAsia="仿宋" w:cs="仿宋"/>
          <w:sz w:val="32"/>
        </w:rPr>
      </w:r>
      <w:r/>
    </w:p>
    <w:p>
      <w:pPr>
        <w:pStyle w:val="833"/>
        <w:rPr>
          <w:rFonts w:hint="eastAsia" w:ascii="仿宋" w:hAnsi="仿宋" w:eastAsia="仿宋" w:cs="仿宋"/>
          <w:sz w:val="32"/>
        </w:rPr>
      </w:pPr>
      <w:r>
        <w:rPr>
          <w:rFonts w:hint="eastAsia" w:ascii="仿宋" w:hAnsi="仿宋" w:eastAsia="仿宋" w:cs="仿宋"/>
          <w:sz w:val="32"/>
        </w:rPr>
      </w:r>
      <w:r/>
    </w:p>
    <w:p>
      <w:pPr>
        <w:pStyle w:val="833"/>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bookmarkStart w:id="2" w:name="_GoBack"/>
      <w:r/>
      <w:bookmarkEnd w:id="2"/>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pStyle w:val="833"/>
        <w:ind w:firstLine="960"/>
        <w:rPr>
          <w:rFonts w:hint="eastAsia" w:eastAsia="仿宋"/>
          <w:lang w:eastAsia="zh-CN"/>
        </w:rPr>
      </w:pPr>
      <w:r>
        <w:rPr>
          <w:rFonts w:hint="eastAsia" w:ascii="仿宋" w:hAnsi="仿宋" w:eastAsia="仿宋" w:cs="仿宋"/>
          <w:sz w:val="32"/>
        </w:rPr>
        <w:t xml:space="preserve">项目编</w:t>
      </w:r>
      <w:r>
        <w:rPr>
          <w:rFonts w:hint="eastAsia" w:ascii="仿宋" w:hAnsi="仿宋" w:eastAsia="仿宋" w:cs="仿宋"/>
          <w:sz w:val="32"/>
          <w:highlight w:val="none"/>
        </w:rPr>
        <w:t xml:space="preserve">号：</w:t>
      </w:r>
      <w:r>
        <w:rPr>
          <w:rFonts w:hint="eastAsia" w:ascii="仿宋" w:hAnsi="仿宋" w:eastAsia="仿宋" w:cs="仿宋"/>
          <w:sz w:val="32"/>
          <w:highlight w:val="none"/>
          <w:lang w:eastAsia="zh-CN"/>
        </w:rPr>
        <w:t xml:space="preserve">JSZC-320322-XZWZ-G2025-0004</w:t>
      </w:r>
      <w:r/>
    </w:p>
    <w:p>
      <w:pPr>
        <w:ind w:left="2558" w:hanging="1600"/>
        <w:spacing w:line="600" w:lineRule="exact"/>
        <w:rPr>
          <w:rFonts w:hint="eastAsia" w:eastAsia="仿宋"/>
          <w:lang w:eastAsia="zh-CN"/>
        </w:rPr>
      </w:pPr>
      <w:r>
        <w:rPr>
          <w:rFonts w:hint="eastAsia" w:ascii="仿宋" w:hAnsi="仿宋" w:eastAsia="仿宋" w:cs="仿宋"/>
          <w:sz w:val="32"/>
        </w:rPr>
        <w:t xml:space="preserve">项目名称：</w:t>
      </w:r>
      <w:r>
        <w:rPr>
          <w:rFonts w:hint="eastAsia" w:ascii="仿宋" w:hAnsi="仿宋" w:eastAsia="仿宋" w:cs="仿宋"/>
          <w:sz w:val="32"/>
          <w:lang w:eastAsia="zh-CN"/>
        </w:rPr>
        <w:t xml:space="preserve">沛县饮用水源地监测监控能力提升建设项目</w:t>
      </w:r>
      <w:r/>
    </w:p>
    <w:p>
      <w:pPr>
        <w:ind w:left="2558" w:hanging="1600"/>
        <w:spacing w:line="600" w:lineRule="exact"/>
        <w:rPr>
          <w:rFonts w:hint="eastAsia" w:ascii="仿宋" w:hAnsi="仿宋" w:eastAsia="仿宋" w:cs="仿宋"/>
          <w:sz w:val="32"/>
        </w:rPr>
      </w:pPr>
      <w:r>
        <w:rPr>
          <w:rFonts w:hint="eastAsia" w:ascii="仿宋" w:hAnsi="仿宋" w:eastAsia="仿宋" w:cs="仿宋"/>
          <w:sz w:val="32"/>
        </w:rPr>
        <w:t xml:space="preserve">采 </w:t>
      </w:r>
      <w:r>
        <w:rPr>
          <w:rFonts w:hint="eastAsia" w:ascii="仿宋" w:hAnsi="仿宋" w:eastAsia="仿宋" w:cs="仿宋"/>
          <w:sz w:val="32"/>
          <w:highlight w:val="none"/>
        </w:rPr>
        <w:t xml:space="preserve">购 人：徐州市沛县生态环境局</w:t>
      </w:r>
      <w:r/>
    </w:p>
    <w:p>
      <w:pPr>
        <w:ind w:firstLine="960"/>
        <w:spacing w:line="600" w:lineRule="exact"/>
        <w:rPr>
          <w:rFonts w:hint="eastAsia" w:ascii="仿宋" w:hAnsi="仿宋" w:eastAsia="仿宋" w:cs="仿宋"/>
          <w:sz w:val="32"/>
          <w:lang w:eastAsia="zh-CN"/>
        </w:rPr>
      </w:pPr>
      <w:r>
        <w:rPr>
          <w:rFonts w:hint="eastAsia" w:ascii="仿宋" w:hAnsi="仿宋" w:eastAsia="仿宋" w:cs="仿宋"/>
          <w:sz w:val="32"/>
        </w:rPr>
        <w:t xml:space="preserve">采购代理机构：</w:t>
      </w:r>
      <w:r>
        <w:rPr>
          <w:rFonts w:hint="eastAsia" w:ascii="仿宋" w:hAnsi="仿宋" w:eastAsia="仿宋" w:cs="仿宋"/>
          <w:sz w:val="32"/>
          <w:lang w:eastAsia="zh-CN"/>
        </w:rPr>
        <w:t xml:space="preserve">徐州维正工程咨询有限公司</w:t>
      </w:r>
      <w:r/>
    </w:p>
    <w:p>
      <w:pPr>
        <w:jc w:val="center"/>
        <w:spacing w:line="360" w:lineRule="auto"/>
        <w:rPr>
          <w:rFonts w:hint="eastAsia" w:ascii="仿宋" w:hAnsi="仿宋" w:eastAsia="仿宋" w:cs="仿宋"/>
          <w:bCs/>
          <w:sz w:val="30"/>
        </w:rPr>
      </w:pPr>
      <w:r>
        <w:rPr>
          <w:rFonts w:hint="eastAsia" w:ascii="仿宋" w:hAnsi="仿宋" w:eastAsia="仿宋" w:cs="仿宋"/>
          <w:bCs/>
          <w:sz w:val="30"/>
        </w:rPr>
      </w:r>
      <w:r/>
    </w:p>
    <w:p>
      <w:pPr>
        <w:jc w:val="center"/>
        <w:spacing w:line="360" w:lineRule="auto"/>
        <w:rPr>
          <w:rFonts w:hint="eastAsia" w:ascii="仿宋" w:hAnsi="仿宋" w:eastAsia="仿宋" w:cs="仿宋"/>
          <w:sz w:val="32"/>
          <w:szCs w:val="32"/>
        </w:rPr>
      </w:pPr>
      <w:r>
        <w:rPr>
          <w:rFonts w:hint="eastAsia" w:ascii="仿宋" w:hAnsi="仿宋" w:eastAsia="仿宋" w:cs="仿宋"/>
          <w:bCs/>
          <w:sz w:val="30"/>
        </w:rPr>
        <w:t xml:space="preserve">二〇二五年</w:t>
      </w:r>
      <w:r>
        <w:rPr>
          <w:rFonts w:hint="eastAsia" w:ascii="仿宋" w:hAnsi="仿宋" w:eastAsia="仿宋" w:cs="仿宋"/>
          <w:bCs/>
          <w:sz w:val="30"/>
          <w:lang w:val="en-US" w:eastAsia="zh-CN"/>
        </w:rPr>
        <w:t xml:space="preserve">十二</w:t>
      </w:r>
      <w:r>
        <w:rPr>
          <w:rFonts w:hint="eastAsia" w:ascii="仿宋" w:hAnsi="仿宋" w:eastAsia="仿宋" w:cs="仿宋"/>
          <w:bCs/>
          <w:sz w:val="30"/>
        </w:rPr>
        <w:t xml:space="preserve">月</w:t>
      </w:r>
      <w:r/>
    </w:p>
    <w:p>
      <w:pPr>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b/>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0" w:equalWidth="1"/>
          <w:docGrid w:linePitch="360"/>
        </w:sectPr>
      </w:pPr>
      <w:r>
        <w:rPr>
          <w:rFonts w:hint="eastAsia" w:ascii="仿宋" w:hAnsi="仿宋" w:eastAsia="仿宋" w:cs="仿宋"/>
          <w:b/>
          <w:sz w:val="44"/>
        </w:rPr>
      </w:r>
      <w:r/>
    </w:p>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目 录</w:t>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870"/>
          <w:rFonts w:hint="eastAsia" w:ascii="仿宋" w:hAnsi="仿宋" w:eastAsia="仿宋" w:cs="仿宋"/>
          <w:color w:val="000000"/>
          <w:sz w:val="30"/>
          <w:u w:val="none"/>
        </w:rPr>
        <w:t xml:space="preserve">第一章  投标邀请</w:t>
      </w:r>
      <w:r>
        <w:rPr>
          <w:rStyle w:val="870"/>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870"/>
          <w:rFonts w:hint="eastAsia" w:ascii="仿宋" w:hAnsi="仿宋" w:eastAsia="仿宋" w:cs="仿宋"/>
          <w:color w:val="000000"/>
          <w:sz w:val="30"/>
          <w:u w:val="none"/>
        </w:rPr>
        <w:t xml:space="preserve">第二章  投标人须知</w:t>
      </w:r>
      <w:r>
        <w:rPr>
          <w:rStyle w:val="870"/>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870"/>
          <w:rFonts w:hint="eastAsia" w:ascii="仿宋" w:hAnsi="仿宋" w:eastAsia="仿宋" w:cs="仿宋"/>
          <w:color w:val="000000"/>
          <w:sz w:val="30"/>
          <w:u w:val="none"/>
        </w:rPr>
        <w:t xml:space="preserve">第三章  投标资料表</w:t>
      </w:r>
      <w:r>
        <w:rPr>
          <w:rStyle w:val="870"/>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870"/>
          <w:rFonts w:hint="eastAsia" w:ascii="仿宋" w:hAnsi="仿宋" w:eastAsia="仿宋" w:cs="仿宋"/>
          <w:color w:val="000000"/>
          <w:sz w:val="30"/>
          <w:u w:val="none"/>
        </w:rPr>
        <w:t xml:space="preserve">第四章  评标标准</w:t>
      </w:r>
      <w:r>
        <w:rPr>
          <w:rStyle w:val="870"/>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870"/>
          <w:rFonts w:hint="eastAsia" w:ascii="仿宋" w:hAnsi="仿宋" w:eastAsia="仿宋" w:cs="仿宋"/>
          <w:color w:val="000000"/>
          <w:sz w:val="30"/>
          <w:u w:val="none"/>
        </w:rPr>
        <w:t xml:space="preserve">第五章  拟签订的合同文本</w:t>
      </w:r>
      <w:r>
        <w:rPr>
          <w:rStyle w:val="870"/>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870"/>
          <w:rFonts w:hint="eastAsia" w:ascii="仿宋" w:hAnsi="仿宋" w:eastAsia="仿宋" w:cs="仿宋"/>
          <w:color w:val="000000"/>
          <w:sz w:val="30"/>
          <w:u w:val="none"/>
        </w:rPr>
        <w:t xml:space="preserve">第六章  采购需求</w:t>
      </w:r>
      <w:r>
        <w:rPr>
          <w:rStyle w:val="870"/>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870"/>
          <w:rFonts w:hint="eastAsia" w:ascii="仿宋" w:hAnsi="仿宋" w:eastAsia="仿宋" w:cs="仿宋"/>
          <w:color w:val="000000"/>
          <w:sz w:val="30"/>
          <w:u w:val="none"/>
        </w:rPr>
        <w:t xml:space="preserve">第七章  投标文件相关格式</w:t>
      </w:r>
      <w:r>
        <w:rPr>
          <w:rStyle w:val="870"/>
          <w:rFonts w:hint="eastAsia" w:ascii="仿宋" w:hAnsi="仿宋" w:eastAsia="仿宋" w:cs="仿宋"/>
          <w:color w:val="000000"/>
          <w:sz w:val="30"/>
          <w:u w:val="none"/>
        </w:rPr>
        <w:fldChar w:fldCharType="end"/>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jc w:val="center"/>
        <w:spacing w:line="519" w:lineRule="atLeast"/>
        <w:rPr>
          <w:rFonts w:hint="eastAsia" w:ascii="仿宋" w:hAnsi="仿宋" w:eastAsia="仿宋" w:cs="仿宋"/>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44"/>
        </w:rPr>
      </w:r>
      <w:r/>
    </w:p>
    <w:p>
      <w:pPr>
        <w:jc w:val="center"/>
        <w:spacing w:line="519" w:lineRule="atLeast"/>
        <w:rPr>
          <w:rFonts w:hint="eastAsia" w:ascii="仿宋" w:hAnsi="仿宋" w:eastAsia="仿宋" w:cs="仿宋"/>
          <w:b/>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rPr>
        <w:t xml:space="preserve">徐州市沛县生态环境局</w:t>
      </w:r>
      <w:r/>
    </w:p>
    <w:p>
      <w:pPr>
        <w:jc w:val="center"/>
        <w:spacing w:line="519" w:lineRule="atLeast"/>
        <w:rPr>
          <w:rFonts w:hint="eastAsia" w:ascii="仿宋" w:hAnsi="仿宋" w:eastAsia="仿宋" w:cs="仿宋"/>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0"/>
          <w:szCs w:val="40"/>
        </w:rPr>
        <w:t xml:space="preserve">《</w:t>
      </w:r>
      <w:r>
        <w:rPr>
          <w:rFonts w:hint="eastAsia" w:ascii="仿宋" w:hAnsi="仿宋" w:eastAsia="仿宋" w:cs="仿宋"/>
          <w:b/>
          <w:sz w:val="40"/>
          <w:szCs w:val="40"/>
          <w:lang w:eastAsia="zh-CN"/>
        </w:rPr>
        <w:t xml:space="preserve">沛县饮用水源地监测监控能力提升建设项目</w:t>
      </w:r>
      <w:r>
        <w:rPr>
          <w:rFonts w:hint="eastAsia" w:ascii="仿宋" w:hAnsi="仿宋" w:eastAsia="仿宋" w:cs="仿宋"/>
          <w:b/>
          <w:sz w:val="40"/>
          <w:szCs w:val="40"/>
        </w:rPr>
        <w:t xml:space="preserve">》</w:t>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招标文件</w:t>
      </w:r>
      <w:r/>
    </w:p>
    <w:p>
      <w:pPr>
        <w:ind w:firstLine="6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遵照政府采购法律法规、制度规定和采购人的采购需求、</w:t>
      </w:r>
      <w:r>
        <w:rPr>
          <w:rFonts w:hint="eastAsia" w:ascii="仿宋" w:hAnsi="仿宋" w:eastAsia="仿宋" w:cs="仿宋"/>
          <w:color w:val="000000"/>
          <w:sz w:val="30"/>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jc w:val="center"/>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rPr>
        <w:t xml:space="preserve">第一章  投标邀请</w:t>
      </w:r>
      <w:r/>
    </w:p>
    <w:p>
      <w:pPr>
        <w:ind w:firstLine="6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u w:val="single"/>
          <w:lang w:eastAsia="zh-CN"/>
        </w:rPr>
        <w:t xml:space="preserve">徐州维正工程咨询有限公司</w:t>
      </w:r>
      <w:r>
        <w:rPr>
          <w:rFonts w:hint="eastAsia" w:ascii="仿宋" w:hAnsi="仿宋" w:eastAsia="仿宋" w:cs="仿宋"/>
          <w:color w:val="000000"/>
          <w:sz w:val="30"/>
        </w:rPr>
        <w:t xml:space="preserve">对</w:t>
      </w:r>
      <w:r>
        <w:rPr>
          <w:rFonts w:hint="eastAsia" w:ascii="仿宋" w:hAnsi="仿宋" w:eastAsia="仿宋" w:cs="仿宋"/>
          <w:color w:val="000000"/>
          <w:sz w:val="30"/>
          <w:u w:val="single"/>
          <w:lang w:eastAsia="zh-CN"/>
        </w:rPr>
        <w:t xml:space="preserve">沛县饮用水源地监测监控能力提升建设项目</w:t>
      </w:r>
      <w:r>
        <w:rPr>
          <w:rFonts w:hint="eastAsia" w:ascii="仿宋" w:hAnsi="仿宋" w:eastAsia="仿宋" w:cs="仿宋"/>
          <w:color w:val="000000"/>
          <w:sz w:val="30"/>
        </w:rPr>
        <w:t xml:space="preserve">进行公开招标采购，现邀请符合相关条件的供应商投标。</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一、项目名称和项目编号</w:t>
      </w:r>
      <w:r/>
    </w:p>
    <w:p>
      <w:pPr>
        <w:ind w:firstLine="300"/>
        <w:spacing w:line="519" w:lineRule="atLeast"/>
        <w:rPr>
          <w:rFonts w:hint="eastAsia" w:ascii="仿宋" w:hAnsi="仿宋" w:eastAsia="仿宋" w:cs="仿宋"/>
          <w:color w:val="00000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(一)项目名称：</w:t>
      </w:r>
      <w:r>
        <w:rPr>
          <w:rFonts w:hint="eastAsia" w:ascii="仿宋" w:hAnsi="仿宋" w:eastAsia="仿宋" w:cs="仿宋"/>
          <w:color w:val="000000"/>
          <w:sz w:val="30"/>
          <w:lang w:eastAsia="zh-CN"/>
        </w:rPr>
        <w:t xml:space="preserve">沛县饮用水源地监测监控能力提升建设项目</w:t>
      </w:r>
      <w:r/>
    </w:p>
    <w:p>
      <w:pPr>
        <w:ind w:firstLine="300"/>
        <w:spacing w:line="519" w:lineRule="atLeast"/>
        <w:rPr>
          <w:rFonts w:hint="eastAsia" w:ascii="仿宋" w:hAnsi="仿宋" w:eastAsia="仿宋" w:cs="仿宋"/>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(二)项目编号：</w:t>
      </w:r>
      <w:r>
        <w:rPr>
          <w:rFonts w:hint="eastAsia" w:ascii="仿宋" w:hAnsi="仿宋" w:eastAsia="仿宋" w:cs="仿宋"/>
          <w:color w:val="000000"/>
          <w:sz w:val="30"/>
          <w:lang w:eastAsia="zh-CN"/>
        </w:rPr>
        <w:t xml:space="preserve">JSZC-320322-XZWZ-G2025-0004</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二、对投标人的资格要求</w:t>
      </w:r>
      <w:r/>
    </w:p>
    <w:p>
      <w:pPr>
        <w:ind w:firstLine="301"/>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详见本项目公开招标公告。</w:t>
      </w:r>
      <w:r/>
    </w:p>
    <w:p>
      <w:pPr>
        <w:ind w:firstLine="301"/>
        <w:spacing w:line="519" w:lineRule="atLeast"/>
        <w:rPr>
          <w:rFonts w:hint="eastAsia" w:ascii="仿宋" w:hAnsi="仿宋" w:eastAsia="仿宋" w:cs="仿宋"/>
          <w:b/>
          <w:bCs/>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rPr>
        <w:t xml:space="preserve">三、获取招标文件</w:t>
      </w:r>
      <w:r/>
    </w:p>
    <w:p>
      <w:pPr>
        <w:ind w:firstLine="301"/>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rPr>
        <w:t xml:space="preserve">1．时间（时间期限）、地点、方式：招标文件提供期限：自招标公告发布之日起5个工作日。</w:t>
      </w:r>
      <w:r>
        <w:rPr>
          <w:rFonts w:hint="eastAsia" w:ascii="仿宋" w:hAnsi="仿宋" w:eastAsia="仿宋" w:cs="仿宋"/>
          <w:color w:val="000000"/>
          <w:sz w:val="30"/>
        </w:rPr>
        <w:t xml:space="preserve">在“苏采云”系统自行下载。</w:t>
      </w:r>
      <w:r/>
    </w:p>
    <w:p>
      <w:pPr>
        <w:ind w:firstLine="6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特别说明：“招标文件提供期限”</w:t>
      </w:r>
      <w:r>
        <w:rPr>
          <w:rFonts w:hint="eastAsia" w:ascii="仿宋" w:hAnsi="仿宋" w:eastAsia="仿宋" w:cs="仿宋"/>
          <w:sz w:val="30"/>
        </w:rPr>
        <w:t xml:space="preserve">届满</w:t>
      </w:r>
      <w:r>
        <w:rPr>
          <w:rFonts w:hint="eastAsia" w:ascii="仿宋" w:hAnsi="仿宋" w:eastAsia="仿宋" w:cs="仿宋"/>
          <w:color w:val="000000"/>
          <w:sz w:val="30"/>
        </w:rPr>
        <w:t xml:space="preserve">后仍可以下载招标文件，</w:t>
      </w:r>
      <w:r>
        <w:rPr>
          <w:rFonts w:hint="eastAsia" w:ascii="仿宋" w:hAnsi="仿宋" w:eastAsia="仿宋" w:cs="仿宋"/>
          <w:sz w:val="30"/>
        </w:rPr>
        <w:t xml:space="preserve">“招标文件提供期限”后下载的招标文件，视为非有效方式且不做为投标人权益受到损害的证明材料和依据。</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2.招标文件售价：免费。</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四、投标有关信息</w:t>
      </w:r>
      <w:r/>
    </w:p>
    <w:p>
      <w:pPr>
        <w:ind w:firstLine="300"/>
        <w:spacing w:line="519" w:lineRule="atLeast"/>
        <w:rPr>
          <w:rFonts w:hint="eastAsia" w:ascii="仿宋" w:hAnsi="仿宋" w:eastAsia="仿宋" w:cs="仿宋"/>
          <w:color w:val="00000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（一）投标截止时间</w:t>
      </w:r>
      <w:r>
        <w:rPr>
          <w:rFonts w:hint="eastAsia" w:ascii="仿宋" w:hAnsi="仿宋" w:eastAsia="仿宋" w:cs="仿宋"/>
          <w:color w:val="000000"/>
          <w:sz w:val="30"/>
          <w:highlight w:val="white"/>
        </w:rPr>
        <w:t xml:space="preserve">：</w:t>
      </w:r>
      <w:r>
        <w:rPr>
          <w:rFonts w:hint="eastAsia" w:ascii="仿宋" w:hAnsi="仿宋" w:eastAsia="仿宋" w:cs="仿宋"/>
          <w:b/>
          <w:color w:val="000000"/>
          <w:sz w:val="30"/>
          <w:highlight w:val="white"/>
        </w:rPr>
        <w:t xml:space="preserve">2025年</w:t>
      </w:r>
      <w:r>
        <w:rPr>
          <w:rFonts w:hint="eastAsia" w:ascii="仿宋" w:hAnsi="仿宋" w:eastAsia="仿宋" w:cs="仿宋"/>
          <w:b/>
          <w:color w:val="000000"/>
          <w:sz w:val="30"/>
          <w:highlight w:val="white"/>
          <w:lang w:eastAsia="zh-CN"/>
        </w:rPr>
        <w:t xml:space="preserve">12月</w:t>
      </w:r>
      <w:r>
        <w:rPr>
          <w:rFonts w:hint="eastAsia" w:ascii="仿宋" w:hAnsi="仿宋" w:eastAsia="仿宋" w:cs="仿宋"/>
          <w:b/>
          <w:color w:val="000000"/>
          <w:sz w:val="30"/>
          <w:highlight w:val="white"/>
          <w:lang w:val="en-US" w:eastAsia="zh-CN"/>
        </w:rPr>
        <w:t xml:space="preserve">30</w:t>
      </w:r>
      <w:r>
        <w:rPr>
          <w:rFonts w:hint="eastAsia" w:ascii="仿宋" w:hAnsi="仿宋" w:eastAsia="仿宋" w:cs="仿宋"/>
          <w:b/>
          <w:color w:val="000000"/>
          <w:sz w:val="30"/>
          <w:highlight w:val="white"/>
        </w:rPr>
        <w:t xml:space="preserve">日</w:t>
      </w:r>
      <w:r>
        <w:rPr>
          <w:rFonts w:hint="eastAsia" w:ascii="仿宋" w:hAnsi="仿宋" w:eastAsia="仿宋" w:cs="仿宋"/>
          <w:b/>
          <w:color w:val="000000"/>
          <w:sz w:val="30"/>
          <w:highlight w:val="white"/>
        </w:rPr>
        <w:t xml:space="preserve">北京时间09：30</w:t>
      </w:r>
      <w:r>
        <w:rPr>
          <w:rFonts w:hint="eastAsia" w:ascii="仿宋" w:hAnsi="仿宋" w:eastAsia="仿宋" w:cs="仿宋"/>
          <w:color w:val="000000"/>
          <w:sz w:val="30"/>
          <w:highlight w:val="white"/>
        </w:rPr>
        <w:t xml:space="preserve">。</w:t>
      </w:r>
      <w:r>
        <w:rPr>
          <w:highlight w:val="white"/>
        </w:rPr>
      </w:r>
    </w:p>
    <w:p>
      <w:pPr>
        <w:ind w:firstLine="300"/>
        <w:spacing w:line="519" w:lineRule="atLeast"/>
        <w:rPr>
          <w:rFonts w:hint="eastAsia" w:ascii="仿宋" w:hAnsi="仿宋" w:eastAsia="仿宋" w:cs="仿宋"/>
          <w:color w:val="00000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white"/>
        </w:rPr>
        <w:t xml:space="preserve">（二）开标时间：</w:t>
      </w:r>
      <w:r>
        <w:rPr>
          <w:rFonts w:hint="eastAsia" w:ascii="仿宋" w:hAnsi="仿宋" w:eastAsia="仿宋" w:cs="仿宋"/>
          <w:b/>
          <w:color w:val="000000"/>
          <w:sz w:val="30"/>
          <w:highlight w:val="white"/>
        </w:rPr>
        <w:t xml:space="preserve">2025年</w:t>
      </w:r>
      <w:r>
        <w:rPr>
          <w:rFonts w:hint="eastAsia" w:ascii="仿宋" w:hAnsi="仿宋" w:eastAsia="仿宋" w:cs="仿宋"/>
          <w:b/>
          <w:color w:val="000000"/>
          <w:sz w:val="30"/>
          <w:highlight w:val="white"/>
          <w:lang w:eastAsia="zh-CN"/>
        </w:rPr>
        <w:t xml:space="preserve">12月</w:t>
      </w:r>
      <w:r>
        <w:rPr>
          <w:rFonts w:hint="eastAsia" w:ascii="仿宋" w:hAnsi="仿宋" w:eastAsia="仿宋" w:cs="仿宋"/>
          <w:b/>
          <w:color w:val="000000"/>
          <w:sz w:val="30"/>
          <w:highlight w:val="white"/>
          <w:lang w:val="en-US" w:eastAsia="zh-CN"/>
        </w:rPr>
        <w:t xml:space="preserve">30</w:t>
      </w:r>
      <w:r>
        <w:rPr>
          <w:rFonts w:hint="eastAsia" w:ascii="仿宋" w:hAnsi="仿宋" w:eastAsia="仿宋" w:cs="仿宋"/>
          <w:b/>
          <w:color w:val="000000"/>
          <w:sz w:val="30"/>
          <w:highlight w:val="white"/>
        </w:rPr>
        <w:t xml:space="preserve">日</w:t>
      </w:r>
      <w:r>
        <w:rPr>
          <w:rFonts w:hint="eastAsia" w:ascii="仿宋" w:hAnsi="仿宋" w:eastAsia="仿宋" w:cs="仿宋"/>
          <w:b/>
          <w:color w:val="000000"/>
          <w:sz w:val="30"/>
          <w:highlight w:val="white"/>
        </w:rPr>
        <w:t xml:space="preserve">北京时间09：30</w:t>
      </w:r>
      <w:r>
        <w:rPr>
          <w:rFonts w:hint="eastAsia" w:ascii="仿宋" w:hAnsi="仿宋" w:eastAsia="仿宋" w:cs="仿宋"/>
          <w:color w:val="000000"/>
          <w:sz w:val="30"/>
          <w:highlight w:val="white"/>
        </w:rPr>
        <w:t xml:space="preserve">。</w:t>
      </w:r>
      <w:r>
        <w:rPr>
          <w:highlight w:val="white"/>
        </w:rP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white"/>
        </w:rPr>
        <w:t xml:space="preserve">（三）开标地点：“苏采云”系统</w:t>
      </w:r>
      <w:r>
        <w:rPr>
          <w:rFonts w:hint="eastAsia" w:ascii="仿宋" w:hAnsi="仿宋" w:eastAsia="仿宋" w:cs="仿宋"/>
          <w:color w:val="000000"/>
          <w:sz w:val="30"/>
        </w:rPr>
        <w:t xml:space="preserve">“开标大厅”或进入徐州政府采购网--业务工作--用户登录，点击“苏采云”进入系统“开标大厅”。</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五、采购人</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（一）名称：徐州市沛县生态环境局</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（二）地址：徐州市沛县沛公路2号</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（三）联系方式：18805226665</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（四）采购项目联系人：王伟</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六、采购代理机构</w:t>
      </w:r>
      <w:r/>
    </w:p>
    <w:p>
      <w:pPr>
        <w:ind w:firstLine="300"/>
        <w:spacing w:line="519" w:lineRule="atLeast"/>
        <w:rPr>
          <w:rFonts w:hint="eastAsia" w:ascii="仿宋" w:hAnsi="仿宋" w:eastAsia="仿宋" w:cs="仿宋"/>
          <w:color w:val="00000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（一）名称：</w:t>
      </w:r>
      <w:r>
        <w:rPr>
          <w:rFonts w:hint="eastAsia" w:ascii="仿宋" w:hAnsi="仿宋" w:eastAsia="仿宋" w:cs="仿宋"/>
          <w:color w:val="000000"/>
          <w:sz w:val="30"/>
          <w:lang w:eastAsia="zh-CN"/>
        </w:rPr>
        <w:t xml:space="preserve">徐州维正工程咨询有限公司</w:t>
      </w:r>
      <w:r/>
    </w:p>
    <w:p>
      <w:pPr>
        <w:ind w:firstLine="300"/>
        <w:spacing w:line="519" w:lineRule="atLeast"/>
        <w:rPr>
          <w:rFonts w:hint="eastAsia" w:ascii="仿宋" w:hAnsi="仿宋" w:eastAsia="仿宋" w:cs="仿宋"/>
          <w:color w:val="000000"/>
          <w:sz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（二）地址：</w:t>
      </w:r>
      <w:r>
        <w:rPr>
          <w:rFonts w:hint="eastAsia" w:ascii="仿宋" w:hAnsi="仿宋" w:eastAsia="仿宋" w:cs="仿宋"/>
          <w:color w:val="000000"/>
          <w:sz w:val="30"/>
          <w:lang w:eastAsia="zh-CN"/>
        </w:rPr>
        <w:t xml:space="preserve">徐州市云龙区汉风街道秦郡路中铁原香漫谷2号商业楼217-6-39室</w:t>
      </w:r>
      <w:r/>
    </w:p>
    <w:p>
      <w:pPr>
        <w:ind w:firstLine="300"/>
        <w:spacing w:line="519" w:lineRule="atLeast"/>
        <w:rPr>
          <w:rFonts w:hint="eastAsia" w:ascii="仿宋" w:hAnsi="仿宋" w:eastAsia="仿宋" w:cs="仿宋"/>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（三）联系方式：</w:t>
      </w:r>
      <w:r>
        <w:rPr>
          <w:rFonts w:hint="eastAsia" w:ascii="仿宋" w:hAnsi="仿宋" w:eastAsia="仿宋" w:cs="仿宋"/>
          <w:color w:val="000000"/>
          <w:sz w:val="30"/>
          <w:lang w:eastAsia="zh-CN"/>
        </w:rPr>
        <w:t xml:space="preserve">0516-83796662</w:t>
      </w:r>
      <w:r/>
    </w:p>
    <w:p>
      <w:pPr>
        <w:ind w:firstLine="300"/>
        <w:spacing w:line="519" w:lineRule="atLeast"/>
        <w:rPr>
          <w:rFonts w:hint="eastAsia" w:ascii="仿宋" w:hAnsi="仿宋" w:eastAsia="仿宋" w:cs="仿宋"/>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（四）采购项目联系人：</w:t>
      </w:r>
      <w:r>
        <w:rPr>
          <w:rFonts w:hint="eastAsia" w:ascii="仿宋" w:hAnsi="仿宋" w:eastAsia="仿宋" w:cs="仿宋"/>
          <w:color w:val="000000"/>
          <w:sz w:val="30"/>
          <w:lang w:eastAsia="zh-CN"/>
        </w:rPr>
        <w:t xml:space="preserve">李扬帆</w:t>
      </w:r>
      <w:r/>
    </w:p>
    <w:p>
      <w:pPr>
        <w:ind w:firstLine="12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ind w:firstLine="600"/>
        <w:spacing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720"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0" w:equalWidth="1"/>
          <w:docGrid w:linePitch="360"/>
        </w:sectPr>
        <w:outlineLvl w:val="0"/>
      </w:pPr>
      <w:r>
        <w:rPr>
          <w:rFonts w:hint="eastAsia" w:ascii="仿宋" w:hAnsi="仿宋" w:eastAsia="仿宋" w:cs="仿宋"/>
          <w:b/>
          <w:sz w:val="30"/>
        </w:rPr>
      </w:r>
      <w:r/>
    </w:p>
    <w:p>
      <w:pPr>
        <w:jc w:val="center"/>
        <w:spacing w:line="72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第二章 投标人须知</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一、总则</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（一）采购人。采购人即指依法进行政府采购的国家机关、事业单位和团体组织。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（二）政府招标采购方式。政府采购货物或服务（以下简称“货物服务”）的招标方式，分为公开招标和邀请招标。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（五）采购人委托采购代理机构代理招标的，采购代理机构必须在采购人委托的范围内依法开展采购活动。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（六）投标人的资格条件：</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投标人是指响应招标、参加投标竞争的法人、其他组织或者自然人。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2.投标人授权代表系指法定代表人或受法人委托的受托人。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二、招标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（八）招标文件应包括以下内容：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第一章，投标邀请；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第二章，投标人须知；</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第三章，投标资料表；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第四章，评标标准；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第五章，拟签订的合同文本；</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第六章，采购需求；</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第七章，投标文件相关格式。</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（九）招标文件澄清或者修改：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2.现场考察以本文件第三章《投标资料表》中的要求为准。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3.开标前答疑会以本文件第三章《投标资料表》中的要求为准。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三、投标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（十）投标人应当按照招标文件的要求编制投标文件。投标文件应对招标文件提出的要求和条件作出实质性响应。</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（十二）投标文件的构成：</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1.投标文件的构成以本文件第三章《投标资料表》中的要求为准。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2.投标人应当提交的资格、资信证明文件，以本文件第三章《投标资料表》中的所提要求为准。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（十三）投标函和价格表、商务条件、交货和提供服务的时间：</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1.投标函和价格表的要求见本章（十二）、（十三），格式见本文件第七章《投标文件相关格式》中《投标函》和《开标一览表》。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2.商务条件以本文件第三章《投标资料表》中的要求为准。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3.交货和提供服务的时间，以本文件第三章《投标资料表》中所提要求为准。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（十四）投标报价要求：</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1.投标人应按照招标文件的要求报出分项价格和总价。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2.投标人应按照招标文件的要求进行报价，如投标人作出偏离，应在《偏离表》中列出。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3.采购人不支付报价以外的任何费用。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（十五）投标货币。以本文件第三章《投标资料表》中所提要求为准。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（十六）投标有效期：</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1.投标有效期为开标之日后90天。采购人可以要求对投标有效期延长一次，但该延长期最长不得超过30天。</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（十七）投标文件的编制要求和签署要求：</w:t>
      </w:r>
      <w:r/>
    </w:p>
    <w:p>
      <w:pPr>
        <w:ind w:firstLine="482"/>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（2）投标人应对 CA 证书妥善保管，如被他人盗用投标，因此带来的结果均由投标人自行承担。</w:t>
      </w:r>
      <w:r/>
    </w:p>
    <w:p>
      <w:pPr>
        <w:ind w:firstLine="482"/>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（3）投标人应当对招标文件提出的要求和条件作出实质性响应，并在电子投标系统逐条应答。</w:t>
      </w:r>
      <w:r/>
    </w:p>
    <w:p>
      <w:pPr>
        <w:ind w:firstLine="482"/>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（十八）投标文件的盖章要求</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1.投标文件的盖章要求以招标文件第三章《投标资料表》中的要求为准。</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（二十二）本项目不允许分包。</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（二十四）有下列情形之一的，其投标无效。</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1.不同投标人的投标文件，由同一单位或者个人编制；</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2.不同投标人委托同一单位或者个人办理投标事宜；</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3.不同投标人的投标文件中，所载明的项目管理成员或联系人为同一人；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4.不同投标人的投标文件，异常一致或者投标报价呈规律性差异；</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5.不同投标人的投标文件相互混装；</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7.电子投标文件未按规定期限投标的；</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8.电子投标文件未按招标文件要求签章的；</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9.投标人未在规定时间内解密电子投标文件的；</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10.投标文件未按招标文件规定的内容和要求填写的；没有在投标系统指定位置上传对应文件、材料的。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11.纸质投标文件未按招标文件要求签署、盖章的；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12.不具备招标文件中规定的资格要求的；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13.报价超过招标文件中规定的预算金额或者最高限价的；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14.投标文件含有采购人不能接受的附加条件的；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15.法律、法规和招标文件规定的其他无效情形。</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四、开标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（二十五）开标：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2.投标人不足3家的，不得开标。</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3.开标过程由采购代理机构负责记录。</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5.投标人未参加开标的，视同认可开标结果。</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五、评标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（二十六）公开招标采购项目开标结束后，采购人依法对投标人的资格进行审查。合格投标人不足3家的，不得评标。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1.评标工作由采购代理机构负责组织，并履行下列职责：</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（2）宣布评标纪律；</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（3）公布投标人名单，告知评审专家应当回避的情形；</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（4）组织评标委员会推选评标组长（采购人代表不得担任组长）；</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（5）在评标期间采取必要的通讯管理措施，保证评标活动不受外界干扰；</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（6）根据评标委员会的要求介绍政府采购相关政策法规、招标文件；</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（8）核对评标结果，对有《</w:t>
      </w:r>
      <w:r>
        <w:rPr>
          <w:rFonts w:hint="eastAsia"/>
        </w:rPr>
        <w:fldChar w:fldCharType="begin"/>
      </w:r>
      <w:r>
        <w:instrText xml:space="preserve"> HYPERLINK "http://www.caigou2003.com/" \o "http://www.caigou2003.com/" </w:instrText>
      </w:r>
      <w:r>
        <w:rPr>
          <w:rFonts w:hint="eastAsia"/>
        </w:rPr>
        <w:fldChar w:fldCharType="separate"/>
      </w:r>
      <w:r>
        <w:rPr>
          <w:rStyle w:val="870"/>
          <w:rFonts w:hint="eastAsia" w:ascii="仿宋" w:hAnsi="仿宋" w:eastAsia="仿宋" w:cs="仿宋"/>
          <w:color w:val="000000"/>
          <w:sz w:val="30"/>
          <w:u w:val="none"/>
        </w:rPr>
        <w:t xml:space="preserve">政府采购</w:t>
      </w:r>
      <w:r>
        <w:rPr>
          <w:rStyle w:val="870"/>
          <w:rFonts w:hint="eastAsia" w:ascii="仿宋" w:hAnsi="仿宋" w:eastAsia="仿宋" w:cs="仿宋"/>
          <w:color w:val="000000"/>
          <w:sz w:val="30"/>
          <w:u w:val="none"/>
        </w:rPr>
        <w:fldChar w:fldCharType="end"/>
      </w:r>
      <w:r>
        <w:rPr>
          <w:rFonts w:hint="eastAsia" w:ascii="仿宋" w:hAnsi="仿宋" w:eastAsia="仿宋" w:cs="仿宋"/>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（10）处理与评标有关的其他事项。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2.评标委员会负责具体评标事务，并独立履行下列职责：</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（1）审查、评价投标文件是否符合招标文件的商务、技术等实质性要求；</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（2）要求投标人对投标文件有关事项作出澄清或者说明；</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（3）对投标文件进行比较和评价；</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（4）确定中标候选人名单，以及根据采购人委托直接确定中标人；</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（5）向采购人、采购代理机构或有关部门报告评标中发现的违法行为。</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（二十七）评标方法分为最低评标价法和综合评分法。</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（二十八）评标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1.评标工作程序：</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（1）投标文件初审。</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①资格性审查。</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②符合性审查。</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（2）澄清有关问题。</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（3）比较与评价。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（4）推荐中标候选供应商名单。</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（5）编写评审报告（评标报告）。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3.采用</w:t>
      </w:r>
      <w:r>
        <w:rPr>
          <w:rFonts w:hint="eastAsia"/>
        </w:rPr>
        <w:fldChar w:fldCharType="begin"/>
      </w:r>
      <w:r>
        <w:instrText xml:space="preserve"> HYPERLINK "http://lilun.caigou2003.com/recijiedu/2365668.html" \o "http://lilun.caigou2003.com/recijiedu/2365668.html" </w:instrText>
      </w:r>
      <w:r>
        <w:rPr>
          <w:rFonts w:hint="eastAsia"/>
        </w:rPr>
        <w:fldChar w:fldCharType="separate"/>
      </w:r>
      <w:r>
        <w:rPr>
          <w:rStyle w:val="870"/>
          <w:rFonts w:hint="eastAsia" w:ascii="仿宋" w:hAnsi="仿宋" w:eastAsia="仿宋" w:cs="仿宋"/>
          <w:color w:val="000000"/>
          <w:sz w:val="30"/>
          <w:u w:val="none"/>
        </w:rPr>
        <w:t xml:space="preserve">最低评标价法</w:t>
      </w:r>
      <w:r>
        <w:rPr>
          <w:rStyle w:val="870"/>
          <w:rFonts w:hint="eastAsia" w:ascii="仿宋" w:hAnsi="仿宋" w:eastAsia="仿宋" w:cs="仿宋"/>
          <w:color w:val="000000"/>
          <w:sz w:val="30"/>
          <w:u w:val="none"/>
        </w:rPr>
        <w:fldChar w:fldCharType="end"/>
      </w:r>
      <w:r>
        <w:rPr>
          <w:rFonts w:hint="eastAsia" w:ascii="仿宋" w:hAnsi="仿宋" w:eastAsia="仿宋" w:cs="仿宋"/>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采用</w:t>
      </w:r>
      <w:r>
        <w:fldChar w:fldCharType="begin"/>
      </w:r>
      <w:r>
        <w:instrText xml:space="preserve"> HYPERLINK "http://lilun.caigou2003.com/recijiedu/2365667.html" \o "http://lilun.caigou2003.com/recijiedu/2365667.html" </w:instrText>
      </w:r>
      <w:r>
        <w:fldChar w:fldCharType="separate"/>
      </w:r>
      <w:r>
        <w:rPr>
          <w:rStyle w:val="870"/>
          <w:rFonts w:hint="eastAsia" w:ascii="仿宋" w:hAnsi="仿宋" w:eastAsia="仿宋" w:cs="仿宋"/>
          <w:color w:val="000000"/>
          <w:sz w:val="30"/>
          <w:u w:val="none"/>
        </w:rPr>
        <w:t xml:space="preserve">综合评分法</w:t>
      </w:r>
      <w:r>
        <w:rPr>
          <w:rStyle w:val="870"/>
          <w:rFonts w:hint="eastAsia" w:ascii="仿宋" w:hAnsi="仿宋" w:eastAsia="仿宋" w:cs="仿宋"/>
          <w:color w:val="000000"/>
          <w:sz w:val="30"/>
          <w:u w:val="none"/>
        </w:rPr>
        <w:fldChar w:fldCharType="end"/>
      </w:r>
      <w:r>
        <w:rPr>
          <w:rFonts w:hint="eastAsia" w:ascii="仿宋" w:hAnsi="仿宋" w:eastAsia="仿宋" w:cs="仿宋"/>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非单一产品采购项目，多家投标人提供的核心产品品牌相同的，按前两款规定处理。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（二十九）投标文件报价出现前后不一致的，按照下列规定修正：</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1.投标文件中开标一览表（报价表）内容与投标文件中相应内容不一致的，以开标一览表（报价表）为准；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2.大写金额和小写金额不一致的，以大写金额为准；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3.单价金额小数点或者百分比有明显错位的，以开标一览表的总价为准，并修改单价；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4.总价金额与按单价合计金额不一致的，以单价金额计算结果为准。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（三十二）废标条款：</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出现下列情形之一的，应予废标。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1.符合专业条件的供应商或者对招标文件作实质响应的供应商不足三家的；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2.出现影响采购公正的违法、违规行为的；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3.投标人的报价均超过了采购预算，采购人不能支付的；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4.因重大变故，采购任务取消的。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六、定标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（三十三）采购代理机构应当在评标结束后2个工作日内将评标报告送采购人。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（三十四）采购人应当自收到评标报告之日起5个工作日内，在评标报告确定的中标候选人名单中按顺序确定中标人。</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七、政府采购合同</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（三十六）签订政府采购合同（合同签订方式）：</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采购人不得向中标人提出任何不合理的要求作为签订合同的条件。</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（三十八）履约保证金：详见《第三章 投标资料表》。</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（三十九）腐败和欺诈行为：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（1）腐败和欺诈行为的含义：</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（2）如果被推荐的中标人有腐败和欺诈行为，将取消其中标资格。</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八、询问和质疑</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（四十）询问和质疑</w:t>
      </w:r>
      <w:r/>
    </w:p>
    <w:p>
      <w:pPr>
        <w:ind w:firstLine="600"/>
        <w:spacing w:line="519"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30"/>
        </w:rPr>
        <w:t xml:space="preserve"> </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九、电子招标投标交易平台</w:t>
      </w:r>
      <w:r/>
    </w:p>
    <w:p>
      <w:pPr>
        <w:ind w:firstLine="600"/>
        <w:jc w:val="left"/>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（四十一）电子招标投标交易平台（即“苏采云”系统，网址：http://jszfcg.jsczt.cn/）相关要求是本招标文件的组成部分。</w:t>
      </w:r>
      <w:r/>
    </w:p>
    <w:p>
      <w:pPr>
        <w:ind w:firstLine="602"/>
        <w:jc w:val="center"/>
        <w:spacing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jc w:val="center"/>
        <w:spacing w:line="72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rPr>
        <w:br w:type="page" w:clear="all"/>
      </w:r>
      <w:r>
        <w:rPr>
          <w:rFonts w:hint="eastAsia" w:ascii="仿宋" w:hAnsi="仿宋" w:eastAsia="仿宋" w:cs="仿宋"/>
          <w:b/>
          <w:sz w:val="30"/>
        </w:rPr>
        <w:t xml:space="preserve">第三章 投标资料表</w:t>
      </w:r>
      <w:r/>
    </w:p>
    <w:p>
      <w:pPr>
        <w:ind w:firstLine="6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969"/>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条款项号</w:t>
            </w:r>
            <w:r/>
          </w:p>
        </w:tc>
        <w:tc>
          <w:tcPr>
            <w:tcMar>
              <w:left w:w="108" w:type="dxa"/>
              <w:top w:w="0" w:type="dxa"/>
              <w:right w:w="108" w:type="dxa"/>
              <w:bottom w:w="0" w:type="dxa"/>
            </w:tcMar>
            <w:tcW w:w="8313"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本项目采购人：徐州市沛县生态环境局</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(四)</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本项目采购代理机构：</w:t>
            </w:r>
            <w:r>
              <w:rPr>
                <w:rFonts w:hint="eastAsia" w:ascii="仿宋" w:hAnsi="仿宋" w:eastAsia="仿宋" w:cs="仿宋"/>
                <w:color w:val="000000"/>
                <w:sz w:val="28"/>
                <w:szCs w:val="28"/>
                <w:lang w:eastAsia="zh-CN"/>
              </w:rPr>
              <w:t xml:space="preserve">徐州维正工程咨询有限公司</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(六)</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投标人的资格条件：</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一、符合《中华人民共和国政府采购法》第二十二条的规定；</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w:t>
            </w:r>
            <w:r>
              <w:rPr>
                <w:rFonts w:hint="eastAsia" w:ascii="仿宋" w:hAnsi="仿宋" w:eastAsia="仿宋" w:cs="仿宋"/>
                <w:b w:val="0"/>
                <w:bCs w:val="0"/>
                <w:color w:val="000000"/>
                <w:sz w:val="28"/>
                <w:szCs w:val="28"/>
              </w:rPr>
              <w:t xml:space="preserve">本项目属于专门面向中小微企业采购的项目，</w:t>
            </w:r>
            <w:r>
              <w:rPr>
                <w:rFonts w:hint="eastAsia" w:ascii="仿宋" w:hAnsi="仿宋" w:eastAsia="仿宋" w:cs="仿宋"/>
                <w:color w:val="000000"/>
                <w:sz w:val="28"/>
                <w:szCs w:val="28"/>
              </w:rPr>
              <w:t xml:space="preserve">供应商所提供的货物全部由符合政策要求的中小企业制造，供应商提供的货物的制造商应全部为中小微企业、监狱企业、残疾人福利性单位。</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同时明确相关事项如下：</w:t>
            </w:r>
            <w:r/>
          </w:p>
          <w:p>
            <w:pPr>
              <w:ind w:firstLine="28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1、本项目</w:t>
            </w:r>
            <w:r>
              <w:rPr>
                <w:rFonts w:hint="eastAsia" w:ascii="仿宋" w:hAnsi="仿宋" w:eastAsia="仿宋" w:cs="仿宋"/>
                <w:b/>
                <w:bCs/>
                <w:color w:val="000000"/>
                <w:sz w:val="28"/>
                <w:szCs w:val="28"/>
              </w:rPr>
              <w:t xml:space="preserve">不接受</w:t>
            </w:r>
            <w:r>
              <w:rPr>
                <w:rFonts w:hint="eastAsia" w:ascii="仿宋" w:hAnsi="仿宋" w:eastAsia="仿宋" w:cs="仿宋"/>
                <w:color w:val="000000"/>
                <w:sz w:val="28"/>
                <w:szCs w:val="28"/>
              </w:rPr>
              <w:t xml:space="preserve">联合体参与采购活动。</w:t>
            </w:r>
            <w:r/>
          </w:p>
          <w:p>
            <w:pPr>
              <w:ind w:firstLine="28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2、单位负责人为同一人或者存在直接控股、管理关系的不同供应商，不得参加同一合同项下的政府采购活动。</w:t>
            </w:r>
            <w:r/>
          </w:p>
          <w:p>
            <w:pPr>
              <w:ind w:firstLine="28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3、为本采购项目提供整体设计、规范编制或者项目管理、监理、检测等服务的供应商，不得再参加本采购项目的采购活动。</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三、查询及使用供应商信用记录：</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(一)由采购人查询信用信息。</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(二)查询渠道包括：</w:t>
            </w:r>
            <w:r/>
          </w:p>
          <w:p>
            <w:pPr>
              <w:ind w:firstLine="280"/>
              <w:jc w:val="lef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1、“信用中国”网（www.creditchina.gov.cn）；</w:t>
            </w:r>
            <w:r/>
          </w:p>
          <w:p>
            <w:pPr>
              <w:ind w:firstLine="280"/>
              <w:jc w:val="lef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2、中国政府采购网（www.ccgp.gov.cn）；</w:t>
            </w:r>
            <w:r/>
          </w:p>
          <w:p>
            <w:pPr>
              <w:ind w:firstLine="280"/>
              <w:jc w:val="lef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3、“信用江苏”网（http://credit.jiangsu.gov.cn/）；</w:t>
            </w:r>
            <w:r/>
          </w:p>
          <w:p>
            <w:pPr>
              <w:ind w:firstLine="280"/>
              <w:jc w:val="lef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4、“信用中国(江苏徐州)”网（http://www.xuzhoucredit.gov.cn）；</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(三)截止时点（查询环节）：开标后资格审查结束前。</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(四)信用信息查询记录和证据留存的具体方式：网页截屏打印，与其他采购文件一并保存。</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(五)信用信息的使用规则：</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(九)1</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hint="eastAsia" w:ascii="仿宋" w:hAnsi="仿宋" w:eastAsia="仿宋" w:cs="仿宋"/>
                <w:color w:val="000000"/>
                <w:sz w:val="28"/>
                <w:szCs w:val="28"/>
              </w:rPr>
            </w:pPr>
            <w:r>
              <w:rPr>
                <w:rFonts w:hint="eastAsia" w:ascii="仿宋" w:hAnsi="仿宋" w:eastAsia="仿宋" w:cs="仿宋"/>
                <w:b/>
                <w:bCs/>
                <w:sz w:val="28"/>
                <w:szCs w:val="28"/>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(九)3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(十二)1</w:t>
            </w:r>
            <w:r/>
          </w:p>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(十二)2</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线上投标文件编制要求：</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请按照以下要求（包括但不限于以下要求）制作：</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一、基本目录</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1、《开标一览表》（加盖电子签章，政府采购客户端工具输入报价自动生成）。</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二、资格条件（必须提供，否则投标将被拒绝）</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(一)投标人合法有效的营业执照扫描件，或事业单位法人证书扫描件，或民办非企业单位登记证书扫描件。</w:t>
            </w:r>
            <w:r/>
          </w:p>
          <w:p>
            <w:pPr>
              <w:ind w:right="28"/>
              <w:rPr>
                <w:rFonts w:hint="eastAsia" w:ascii="仿宋" w:hAnsi="仿宋" w:eastAsia="仿宋" w:cs="仿宋"/>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(二)财务状况报告（即提供投标人的本项目开标时间前6个月内任何时间的</w:t>
            </w:r>
            <w:r>
              <w:rPr>
                <w:rFonts w:hint="eastAsia" w:ascii="仿宋" w:hAnsi="仿宋" w:eastAsia="仿宋" w:cs="仿宋"/>
                <w:bCs/>
                <w:color w:val="000000"/>
                <w:sz w:val="28"/>
                <w:szCs w:val="28"/>
              </w:rPr>
              <w:t xml:space="preserve">资产负债表、利润表扫描件各一份；</w:t>
            </w:r>
            <w:r>
              <w:rPr>
                <w:rFonts w:hint="eastAsia" w:ascii="仿宋" w:hAnsi="仿宋" w:eastAsia="仿宋" w:cs="仿宋"/>
                <w:color w:val="000000"/>
                <w:sz w:val="28"/>
                <w:szCs w:val="28"/>
              </w:rPr>
              <w:t xml:space="preserve">或合法有效的经第三方机构审计的2024年度财务审计报告扫描件一份；或投标人的本项目开标时间前6个月内银行出具的</w:t>
            </w:r>
            <w:r>
              <w:rPr>
                <w:rFonts w:hint="eastAsia" w:ascii="仿宋" w:hAnsi="仿宋" w:eastAsia="仿宋" w:cs="仿宋"/>
                <w:bCs/>
                <w:color w:val="000000"/>
                <w:sz w:val="28"/>
                <w:szCs w:val="28"/>
              </w:rPr>
              <w:t xml:space="preserve">资信证明扫描件一份）；</w:t>
            </w:r>
            <w:r/>
          </w:p>
          <w:p>
            <w:pPr>
              <w:ind w:right="28"/>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rPr>
              <w:t xml:space="preserve">(三)投标人的本项目开标时间前6个月内任何1个月的依法缴纳税收扫描件和社会保障资金扫描件的相关材料（依法免税</w:t>
            </w:r>
            <w:r>
              <w:rPr>
                <w:rFonts w:hint="eastAsia" w:ascii="仿宋" w:hAnsi="仿宋" w:eastAsia="仿宋" w:cs="仿宋"/>
                <w:color w:val="000000"/>
                <w:sz w:val="28"/>
                <w:szCs w:val="28"/>
              </w:rPr>
              <w:t xml:space="preserve">或不需要缴纳社会保障资金的供应商,提供相应文件扫描件证明其依法免税或不需要缴纳社会保障资金)；</w:t>
            </w:r>
            <w:r/>
          </w:p>
          <w:p>
            <w:pPr>
              <w:ind w:right="28"/>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(四)具备履行合同所必需的设备和专业技术能力的证明材料。格式见招标文件第七章《投标文件相关格式》）。</w:t>
            </w:r>
            <w:r/>
          </w:p>
          <w:p>
            <w:pPr>
              <w:ind w:right="28"/>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(五)投标人参加政府采购活动前3年内在经营活动中没有重大违法记录的书面声明，加盖</w:t>
            </w:r>
            <w:r>
              <w:rPr>
                <w:rFonts w:hint="eastAsia" w:ascii="仿宋" w:hAnsi="仿宋" w:eastAsia="仿宋" w:cs="仿宋"/>
                <w:bCs/>
                <w:color w:val="000000"/>
                <w:sz w:val="28"/>
                <w:szCs w:val="28"/>
              </w:rPr>
              <w:t xml:space="preserve">电子签章，</w:t>
            </w:r>
            <w:r>
              <w:rPr>
                <w:rFonts w:hint="eastAsia" w:ascii="仿宋" w:hAnsi="仿宋" w:eastAsia="仿宋" w:cs="仿宋"/>
                <w:color w:val="000000"/>
                <w:sz w:val="28"/>
                <w:szCs w:val="28"/>
              </w:rPr>
              <w:t xml:space="preserve">格式见本文件第七章《投标文件相关格式》。</w:t>
            </w:r>
            <w:r/>
          </w:p>
          <w:p>
            <w:pPr>
              <w:pStyle w:val="7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（六）投标人关于单位负责人为同一人或者存在直接控股、管理关系的不同供应商，不得参加同一合同项下的政府采购活动的承诺。（加盖电子签章，格式见招标文件第七章《投标文件相关格式》）。</w:t>
            </w:r>
            <w:r/>
          </w:p>
          <w:p>
            <w:pPr>
              <w:pStyle w:val="7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（七）投标人不是为本采购项目提供整体设计、规范编制或者项目管理、监理、检测等服务的供应商的书面声明。（加盖电子签章，格式见招标文件第七章《投标文件相关格式》）。</w:t>
            </w:r>
            <w:r/>
          </w:p>
          <w:p>
            <w:pPr>
              <w:pStyle w:val="7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八)投标人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九</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落实政府采购政策需满足的资格要求：本项目属于专门面向中小企业采购的项目，提供的货物全部由符合政策要求的中小企业、监狱企业、残疾人福利性单位制造。投标人应为中小微企业、监狱企业、残疾人福利性单位。提供《中小企业声明函》（必须提供，填写完整，加盖电子签章，格式见《投标文件相关格式》附件，如不填写完整，视为无效）。《中小企业声明函》查询渠道参考工业和信息化部发布的中小企业规模自测小程序。</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注：中小企业（含中型、小型、微型企业，下同），应当同时符合以下条件：</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①符合中小企业划分标准；</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②提供本企业制造的货物、承担的工程或者服务，或者提供其他中小企业制造的货物。</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小型、微型企业提供中型企业制造的货物的，视同为中型企业。</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投标人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投标人为享受政府采购支持政策的残疾人福利性单位的，提供《残疾人福利性单位声明函》（加盖电子签章，格式见招标文件第七章《投标文件相关格式》）。</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享受政府采购支持政策的残疾人福利性单位应当同时满足以下条件：</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安置的残疾人占本单位在职职工人数的比例不低于25%（含25%），并且安置的残疾人人数不少于10人（含10人）；</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依法与安置的每位残疾人签订了一年以上（含一年）的劳动合同或服务协议；</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3</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为安置的每位残疾人按月足额缴纳了基本养老保险、基本医疗保险、失业保险、工伤保险和生育保险等社会保险费；</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w:t>
            </w: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rPr>
              <w:t xml:space="preserve">）通过银行等金融机构向安置的每位残疾人，按月支付了不低于单位所在区县适用的经省级人民政府批准的月最低工资标准的工资；</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w:t>
            </w:r>
            <w:r>
              <w:rPr>
                <w:rFonts w:hint="eastAsia" w:ascii="仿宋" w:hAnsi="仿宋" w:eastAsia="仿宋" w:cs="仿宋"/>
                <w:b w:val="0"/>
                <w:bCs w:val="0"/>
                <w:color w:val="000000"/>
                <w:sz w:val="28"/>
                <w:szCs w:val="28"/>
                <w:lang w:val="en-US" w:eastAsia="zh-CN"/>
              </w:rPr>
              <w:t xml:space="preserve">5</w:t>
            </w:r>
            <w:r>
              <w:rPr>
                <w:rFonts w:hint="eastAsia" w:ascii="仿宋" w:hAnsi="仿宋" w:eastAsia="仿宋" w:cs="仿宋"/>
                <w:b w:val="0"/>
                <w:bCs w:val="0"/>
                <w:color w:val="000000"/>
                <w:sz w:val="28"/>
                <w:szCs w:val="28"/>
              </w:rPr>
              <w:t xml:space="preserve">）提供本单位制造的货物、承担的工程或者服务（以下简称产品），或者提供其他残疾人福利性单位制造的货物（不包括使用非残疾人福利性单位注册商标的货物）。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仿宋" w:hAnsi="仿宋" w:eastAsia="仿宋" w:cs="仿宋"/>
                <w:b w:val="0"/>
                <w:bCs w:val="0"/>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具体以《三部门联合发布关于促进残疾人就业政府采购政策的通知》（财库〔2017〕141号）规定为准。</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三、符合条件（必须提供，否则投标无效）</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(一)报价</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1、《开标一览表》。要求加盖电子签章，格式见本文件第七章《投标文件相关格式》。</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2、《分项价格表》。要求加盖电子签章，格式见本文件第七章《投标文件相关格式》（必须提供，否则在符合性审查时按照投标无效处理）。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（二）商务资信</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1、《投标函》（加盖电子签章，格式见招标文件第七章《投标文件相关格式》。）</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2、《授权委托书》。要求加盖电子签章，格式见本文件第七章《投标文件相关格式》（必须提供，否则在符合性审查时按照投标无效处理）。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（三）技术响应</w:t>
            </w:r>
            <w:r/>
          </w:p>
          <w:p>
            <w:pPr>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1、《偏离表》（加盖电子签章，格式见招标文件第七章《投标文件相关格式》。）</w:t>
            </w:r>
            <w:r/>
          </w:p>
          <w:p>
            <w:pPr>
              <w:pStyle w:val="940"/>
              <w:jc w:val="both"/>
              <w:keepLines w:val="0"/>
              <w:keepNext w:val="0"/>
              <w:pageBreakBefore w:val="0"/>
              <w:spacing w:line="480" w:lineRule="exact"/>
              <w:widowControl w:val="off"/>
              <w:rPr>
                <w:rFonts w:hint="default"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rPr>
              <w:t xml:space="preserve">、</w:t>
            </w:r>
            <w:r>
              <w:rPr>
                <w:rFonts w:hint="default" w:ascii="仿宋" w:hAnsi="仿宋" w:eastAsia="仿宋" w:cs="仿宋"/>
                <w:b w:val="0"/>
                <w:bCs w:val="0"/>
                <w:color w:val="000000"/>
                <w:sz w:val="28"/>
                <w:szCs w:val="28"/>
                <w:lang w:val="en-US" w:eastAsia="zh-CN" w:bidi="ar-SA"/>
              </w:rPr>
              <w:t xml:space="preserve">所投产品的环境标志产品认证证书原件的扫描件（如有）。</w:t>
            </w:r>
            <w:r/>
          </w:p>
          <w:p>
            <w:pPr>
              <w:jc w:val="both"/>
              <w:keepLines w:val="0"/>
              <w:keepNext w:val="0"/>
              <w:pageBreakBefore w:val="0"/>
              <w:spacing w:line="480" w:lineRule="exact"/>
              <w:widowControl w:val="off"/>
              <w:rPr>
                <w:rFonts w:hint="default" w:ascii="仿宋" w:hAnsi="仿宋" w:eastAsia="仿宋" w:cs="仿宋"/>
                <w:b w:val="0"/>
                <w:bCs w:val="0"/>
                <w:color w:val="000000"/>
                <w:sz w:val="28"/>
                <w:szCs w:val="28"/>
                <w:lang w:val="en-US" w:eastAsia="zh-CN" w:bidi="ar-SA"/>
              </w:rPr>
            </w:pPr>
            <w:r>
              <w:rPr>
                <w:rFonts w:hint="default" w:ascii="仿宋" w:hAnsi="仿宋" w:eastAsia="仿宋" w:cs="仿宋"/>
                <w:b w:val="0"/>
                <w:bCs w:val="0"/>
                <w:color w:val="000000"/>
                <w:sz w:val="28"/>
                <w:szCs w:val="28"/>
                <w:lang w:val="en-US" w:eastAsia="zh-CN" w:bidi="ar-SA"/>
              </w:rPr>
              <w:t xml:space="preserve">注：</w:t>
            </w:r>
            <w:r/>
          </w:p>
          <w:p>
            <w:pPr>
              <w:jc w:val="both"/>
              <w:keepLines w:val="0"/>
              <w:keepNext w:val="0"/>
              <w:pageBreakBefore w:val="0"/>
              <w:spacing w:line="480" w:lineRule="exact"/>
              <w:widowControl w:val="off"/>
              <w:rPr>
                <w:rFonts w:hint="default" w:ascii="仿宋" w:hAnsi="仿宋" w:eastAsia="仿宋" w:cs="仿宋"/>
                <w:b w:val="0"/>
                <w:bCs w:val="0"/>
                <w:color w:val="000000"/>
                <w:sz w:val="28"/>
                <w:szCs w:val="28"/>
                <w:lang w:val="en-US" w:eastAsia="zh-CN" w:bidi="ar-SA"/>
              </w:rPr>
            </w:pPr>
            <w:r>
              <w:rPr>
                <w:rFonts w:hint="default" w:ascii="仿宋" w:hAnsi="仿宋" w:eastAsia="仿宋" w:cs="仿宋"/>
                <w:b w:val="0"/>
                <w:bCs w:val="0"/>
                <w:color w:val="000000"/>
                <w:sz w:val="28"/>
                <w:szCs w:val="28"/>
                <w:lang w:val="en-US" w:eastAsia="zh-CN" w:bidi="ar-SA"/>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keepLines w:val="0"/>
              <w:keepNext w:val="0"/>
              <w:pageBreakBefore w:val="0"/>
              <w:spacing w:line="480" w:lineRule="exact"/>
              <w:widowControl w:val="off"/>
              <w:rPr>
                <w:rFonts w:hint="default" w:ascii="仿宋" w:hAnsi="仿宋" w:eastAsia="仿宋" w:cs="仿宋"/>
                <w:b w:val="0"/>
                <w:bCs w:val="0"/>
                <w:color w:val="000000"/>
                <w:sz w:val="28"/>
                <w:szCs w:val="28"/>
                <w:lang w:val="en-US" w:eastAsia="zh-CN" w:bidi="ar-SA"/>
              </w:rPr>
            </w:pPr>
            <w:r>
              <w:rPr>
                <w:rFonts w:hint="default" w:ascii="仿宋" w:hAnsi="仿宋" w:eastAsia="仿宋" w:cs="仿宋"/>
                <w:b w:val="0"/>
                <w:bCs w:val="0"/>
                <w:color w:val="000000"/>
                <w:sz w:val="28"/>
                <w:szCs w:val="28"/>
                <w:lang w:val="en-US" w:eastAsia="zh-CN" w:bidi="ar-SA"/>
              </w:rPr>
              <w:t xml:space="preserve">（2）环境标志产品认证证书是否符合要求，采购人评标时查询中国政府采购网（www.ccgp.gov.cn）相关内容后确定。</w:t>
            </w:r>
            <w:r/>
          </w:p>
          <w:p>
            <w:pPr>
              <w:jc w:val="both"/>
              <w:keepLines w:val="0"/>
              <w:keepNext w:val="0"/>
              <w:pageBreakBefore w:val="0"/>
              <w:spacing w:line="480" w:lineRule="exact"/>
              <w:widowControl w:val="off"/>
              <w:rPr>
                <w:rFonts w:hint="default"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3、</w:t>
            </w:r>
            <w:r>
              <w:rPr>
                <w:rFonts w:hint="default" w:ascii="仿宋" w:hAnsi="仿宋" w:eastAsia="仿宋" w:cs="仿宋"/>
                <w:b w:val="0"/>
                <w:bCs w:val="0"/>
                <w:color w:val="000000"/>
                <w:sz w:val="28"/>
                <w:szCs w:val="28"/>
                <w:lang w:val="en-US" w:eastAsia="zh-CN" w:bidi="ar-SA"/>
              </w:rPr>
              <w:t xml:space="preserve">所投产品的节能产品认证证书原件的扫描件（如有）。</w:t>
            </w:r>
            <w:r/>
          </w:p>
          <w:p>
            <w:pPr>
              <w:jc w:val="both"/>
              <w:keepLines w:val="0"/>
              <w:keepNext w:val="0"/>
              <w:pageBreakBefore w:val="0"/>
              <w:spacing w:line="480" w:lineRule="exact"/>
              <w:widowControl w:val="off"/>
              <w:rPr>
                <w:rFonts w:hint="default" w:ascii="仿宋" w:hAnsi="仿宋" w:eastAsia="仿宋" w:cs="仿宋"/>
                <w:b w:val="0"/>
                <w:bCs w:val="0"/>
                <w:color w:val="000000"/>
                <w:sz w:val="28"/>
                <w:szCs w:val="28"/>
                <w:lang w:val="en-US" w:eastAsia="zh-CN" w:bidi="ar-SA"/>
              </w:rPr>
            </w:pPr>
            <w:r>
              <w:rPr>
                <w:rFonts w:hint="default" w:ascii="仿宋" w:hAnsi="仿宋" w:eastAsia="仿宋" w:cs="仿宋"/>
                <w:b w:val="0"/>
                <w:bCs w:val="0"/>
                <w:color w:val="000000"/>
                <w:sz w:val="28"/>
                <w:szCs w:val="28"/>
                <w:lang w:val="en-US" w:eastAsia="zh-CN" w:bidi="ar-SA"/>
              </w:rPr>
              <w:t xml:space="preserve">注：</w:t>
            </w:r>
            <w:r/>
          </w:p>
          <w:p>
            <w:pPr>
              <w:jc w:val="both"/>
              <w:keepLines w:val="0"/>
              <w:keepNext w:val="0"/>
              <w:pageBreakBefore w:val="0"/>
              <w:spacing w:line="480" w:lineRule="exact"/>
              <w:widowControl w:val="off"/>
              <w:rPr>
                <w:rFonts w:hint="default" w:ascii="仿宋" w:hAnsi="仿宋" w:eastAsia="仿宋" w:cs="仿宋"/>
                <w:b w:val="0"/>
                <w:bCs w:val="0"/>
                <w:color w:val="000000"/>
                <w:sz w:val="28"/>
                <w:szCs w:val="28"/>
                <w:lang w:val="en-US" w:eastAsia="zh-CN" w:bidi="ar-SA"/>
              </w:rPr>
            </w:pPr>
            <w:r>
              <w:rPr>
                <w:rFonts w:hint="default" w:ascii="仿宋" w:hAnsi="仿宋" w:eastAsia="仿宋" w:cs="仿宋"/>
                <w:b w:val="0"/>
                <w:bCs w:val="0"/>
                <w:color w:val="000000"/>
                <w:sz w:val="28"/>
                <w:szCs w:val="28"/>
                <w:lang w:val="en-US" w:eastAsia="zh-CN" w:bidi="ar-SA"/>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rPr>
                <w:rFonts w:hint="eastAsia" w:ascii="仿宋" w:hAnsi="仿宋" w:eastAsia="仿宋" w:cs="仿宋"/>
                <w:b w:val="0"/>
                <w:bCs w:val="0"/>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b w:val="0"/>
                <w:bCs w:val="0"/>
                <w:color w:val="000000"/>
                <w:sz w:val="28"/>
                <w:szCs w:val="28"/>
                <w:lang w:val="en-US" w:eastAsia="zh-CN" w:bidi="ar-SA"/>
              </w:rPr>
              <w:t xml:space="preserve">（2）节能产品认证证书是否符合要求，采购人评标时查询中国政府采购网（www.ccgp.gov.cn）相关内容后确定。</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四、综合评审评分项</w:t>
            </w:r>
            <w:r/>
          </w:p>
          <w:p>
            <w:pPr>
              <w:rPr>
                <w:rFonts w:hint="eastAsia" w:ascii="仿宋" w:hAnsi="仿宋" w:eastAsia="仿宋" w:cs="仿宋"/>
                <w:b w:val="0"/>
                <w:bCs w:val="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要求详见招标文件第六章《采购需求》和招标文件第四章《评标标准》）；</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五、其他部分</w:t>
            </w:r>
            <w:r/>
          </w:p>
          <w:p>
            <w:pPr>
              <w:rPr>
                <w:rFonts w:hint="eastAsia" w:ascii="仿宋" w:hAnsi="仿宋" w:eastAsia="仿宋" w:cs="仿宋"/>
                <w:b/>
                <w:bCs w:val="0"/>
                <w:color w:val="000000"/>
                <w:sz w:val="28"/>
                <w:szCs w:val="28"/>
                <w:lang w:val="en-US" w:eastAsia="zh-CN"/>
              </w:rPr>
            </w:pPr>
            <w:r>
              <w:rPr>
                <w:rFonts w:hint="eastAsia" w:ascii="仿宋" w:hAnsi="仿宋" w:eastAsia="仿宋" w:cs="仿宋"/>
                <w:b/>
                <w:bCs w:val="0"/>
                <w:color w:val="000000"/>
                <w:sz w:val="28"/>
                <w:szCs w:val="28"/>
              </w:rPr>
              <w:t xml:space="preserve">1、价格折扣文件格式：</w:t>
            </w:r>
            <w:r>
              <w:rPr>
                <w:rFonts w:hint="eastAsia" w:ascii="仿宋" w:hAnsi="仿宋" w:eastAsia="仿宋" w:cs="仿宋"/>
                <w:b/>
                <w:bCs w:val="0"/>
                <w:color w:val="000000"/>
                <w:sz w:val="28"/>
                <w:szCs w:val="28"/>
                <w:lang w:val="en-US" w:eastAsia="zh-CN"/>
              </w:rPr>
              <w:t xml:space="preserve">无。</w:t>
            </w:r>
            <w:r/>
          </w:p>
          <w:p>
            <w:pPr>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1、投标人应对以上文件的合法性、真实性负责。</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(十三)2</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商务条件见：</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一、本文件第四章《评标标准》中《评分细则》。</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二、本文件第三章《投标资料表》中(十二)1和(十二)2。</w:t>
            </w:r>
            <w:r/>
          </w:p>
        </w:tc>
      </w:tr>
      <w:tr>
        <w:trPr>
          <w:jc w:val="center"/>
          <w:trHeight w:val="80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(十三)3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交货和提供服务的时间：见本文件第五章《拟签订的合同文本》及或本文件第六章《采购需求》。</w:t>
            </w:r>
            <w:r/>
          </w:p>
        </w:tc>
      </w:tr>
      <w:tr>
        <w:trPr>
          <w:jc w:val="center"/>
          <w:trHeight w:val="1933"/>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(十四)3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sz w:val="28"/>
                <w:szCs w:val="28"/>
              </w:rPr>
            </w:pPr>
            <w:r>
              <w:rPr>
                <w:rFonts w:hint="eastAsia" w:ascii="仿宋" w:hAnsi="仿宋" w:eastAsia="仿宋" w:cs="仿宋"/>
                <w:b/>
                <w:bCs/>
                <w:sz w:val="28"/>
                <w:szCs w:val="28"/>
              </w:rPr>
              <w:t xml:space="preserve">本项目采购预算总金额 </w:t>
            </w: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rPr>
              <w:t xml:space="preserve">50 万元，本项目不接受超过最高限价的投标报价。</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报价包括产品价、税金、运费、安装调试、检验、保险、培训、售后服务、投标人的利润等全部费用，采购人不再支付报价以外的任何费用。</w:t>
            </w:r>
            <w:r/>
          </w:p>
        </w:tc>
      </w:tr>
      <w:tr>
        <w:trPr>
          <w:jc w:val="center"/>
          <w:trHeight w:val="48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以人民币报价。</w:t>
            </w:r>
            <w:r/>
          </w:p>
        </w:tc>
      </w:tr>
      <w:tr>
        <w:trPr>
          <w:jc w:val="center"/>
          <w:trHeight w:val="4638"/>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投标人须用政府采购客户端工具导入“苏采云”系统下载的采购文件（后缀）、供应商操作手册及政府采购客户端工具可通过“苏采云”系统（网址：</w:t>
            </w:r>
            <w:r>
              <w:rPr>
                <w:rFonts w:hint="eastAsia"/>
              </w:rP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rPr>
              <w:fldChar w:fldCharType="separate"/>
            </w:r>
            <w:r>
              <w:rPr>
                <w:rStyle w:val="870"/>
                <w:rFonts w:hint="eastAsia" w:ascii="仿宋" w:hAnsi="仿宋" w:eastAsia="仿宋" w:cs="仿宋"/>
                <w:color w:val="000000"/>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70"/>
                <w:rFonts w:hint="eastAsia" w:ascii="仿宋" w:hAnsi="仿宋" w:eastAsia="仿宋" w:cs="仿宋"/>
                <w:color w:val="000000"/>
                <w:sz w:val="28"/>
                <w:szCs w:val="28"/>
                <w:u w:val="none"/>
              </w:rPr>
              <w:fldChar w:fldCharType="end"/>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投标人应当通过“苏采云”系统提交数据电文形式的投标文件（即电子投标）。</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特别说明：政府采购客户端工具需要导出加密的投标文件（后缀名为</w:t>
            </w:r>
            <w:r>
              <w:rPr>
                <w:rFonts w:hint="eastAsia" w:ascii="仿宋" w:hAnsi="仿宋" w:eastAsia="仿宋" w:cs="仿宋"/>
                <w:b/>
                <w:bCs/>
                <w:color w:val="000000"/>
                <w:sz w:val="28"/>
                <w:szCs w:val="28"/>
              </w:rPr>
              <w:t xml:space="preserve">zip</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rPr>
              <w:t xml:space="preserve">投标文件不得超过150M！</w:t>
            </w:r>
            <w:r>
              <w:rPr>
                <w:rFonts w:hint="eastAsia" w:ascii="仿宋" w:hAnsi="仿宋" w:eastAsia="仿宋" w:cs="仿宋"/>
                <w:color w:val="000000"/>
                <w:sz w:val="28"/>
                <w:szCs w:val="28"/>
              </w:rPr>
              <w:t xml:space="preserve">名为</w:t>
            </w:r>
            <w:r>
              <w:rPr>
                <w:rFonts w:hint="eastAsia" w:ascii="仿宋" w:hAnsi="仿宋" w:eastAsia="仿宋" w:cs="仿宋"/>
                <w:b/>
                <w:bCs/>
                <w:color w:val="000000"/>
                <w:sz w:val="28"/>
                <w:szCs w:val="28"/>
              </w:rPr>
              <w:t xml:space="preserve">“.kedt”</w:t>
            </w:r>
            <w:r>
              <w:rPr>
                <w:rFonts w:hint="eastAsia" w:ascii="仿宋" w:hAnsi="仿宋" w:eastAsia="仿宋" w:cs="仿宋"/>
                <w:color w:val="000000"/>
                <w:sz w:val="28"/>
                <w:szCs w:val="28"/>
              </w:rPr>
              <w:t xml:space="preserve">）后，离线编制投标文件。采购文件（后缀名为</w:t>
            </w:r>
            <w:r>
              <w:rPr>
                <w:rFonts w:hint="eastAsia" w:ascii="仿宋" w:hAnsi="仿宋" w:eastAsia="仿宋" w:cs="仿宋"/>
                <w:b/>
                <w:bCs/>
                <w:color w:val="000000"/>
                <w:sz w:val="28"/>
                <w:szCs w:val="28"/>
              </w:rPr>
              <w:t xml:space="preserve">“.kedt”）。</w:t>
            </w:r>
            <w:r/>
          </w:p>
        </w:tc>
      </w:tr>
      <w:tr>
        <w:trPr>
          <w:jc w:val="center"/>
          <w:trHeight w:val="546"/>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(十八)1</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(十九)</w:t>
            </w:r>
            <w:r/>
          </w:p>
        </w:tc>
        <w:tc>
          <w:tcPr>
            <w:tcMar>
              <w:left w:w="108" w:type="dxa"/>
              <w:top w:w="0" w:type="dxa"/>
              <w:right w:w="108" w:type="dxa"/>
              <w:bottom w:w="0" w:type="dxa"/>
            </w:tcMar>
            <w:tcW w:w="8313" w:type="dxa"/>
            <w:textDirection w:val="lrTb"/>
            <w:noWrap w:val="false"/>
          </w:tcPr>
          <w:p>
            <w:pPr>
              <w:ind w:left="560" w:hanging="560"/>
              <w:rPr>
                <w:rFonts w:hint="eastAsia" w:ascii="仿宋" w:hAnsi="仿宋" w:eastAsia="仿宋" w:cs="仿宋"/>
                <w:sz w:val="28"/>
                <w:szCs w:val="28"/>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white"/>
              </w:rPr>
              <w:t xml:space="preserve">投标文件的提交与接收： </w:t>
            </w:r>
            <w:r>
              <w:rPr>
                <w:highlight w:val="white"/>
              </w:rPr>
            </w:r>
          </w:p>
          <w:p>
            <w:pPr>
              <w:ind w:left="560" w:hanging="560"/>
              <w:rPr>
                <w:rFonts w:hint="eastAsia" w:ascii="仿宋" w:hAnsi="仿宋" w:eastAsia="仿宋" w:cs="仿宋"/>
                <w:b/>
                <w:bCs/>
                <w:sz w:val="28"/>
                <w:szCs w:val="28"/>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white"/>
              </w:rPr>
              <w:t xml:space="preserve">1、投标文件提交与接收时间：</w:t>
            </w:r>
            <w:r>
              <w:rPr>
                <w:rFonts w:hint="eastAsia" w:ascii="仿宋" w:hAnsi="仿宋" w:eastAsia="仿宋" w:cs="仿宋"/>
                <w:b/>
                <w:bCs/>
                <w:color w:val="000000"/>
                <w:sz w:val="28"/>
                <w:szCs w:val="28"/>
                <w:highlight w:val="white"/>
              </w:rPr>
              <w:t xml:space="preserve">2025年</w:t>
            </w:r>
            <w:r>
              <w:rPr>
                <w:rFonts w:hint="eastAsia" w:ascii="仿宋" w:hAnsi="仿宋" w:eastAsia="仿宋" w:cs="仿宋"/>
                <w:b/>
                <w:bCs/>
                <w:color w:val="000000"/>
                <w:sz w:val="28"/>
                <w:szCs w:val="28"/>
                <w:highlight w:val="white"/>
                <w:lang w:val="en-US" w:eastAsia="zh-CN"/>
              </w:rPr>
              <w:t xml:space="preserve">12</w:t>
            </w:r>
            <w:r>
              <w:rPr>
                <w:rFonts w:hint="eastAsia" w:ascii="仿宋" w:hAnsi="仿宋" w:eastAsia="仿宋" w:cs="仿宋"/>
                <w:b/>
                <w:bCs/>
                <w:color w:val="000000"/>
                <w:sz w:val="28"/>
                <w:szCs w:val="28"/>
                <w:highlight w:val="white"/>
              </w:rPr>
              <w:t xml:space="preserve">月</w:t>
            </w:r>
            <w:r>
              <w:rPr>
                <w:rFonts w:hint="eastAsia" w:ascii="仿宋" w:hAnsi="仿宋" w:eastAsia="仿宋" w:cs="仿宋"/>
                <w:b/>
                <w:bCs/>
                <w:color w:val="000000"/>
                <w:sz w:val="28"/>
                <w:szCs w:val="28"/>
                <w:highlight w:val="white"/>
                <w:lang w:val="en-US" w:eastAsia="zh-CN"/>
              </w:rPr>
              <w:t xml:space="preserve">30</w:t>
            </w:r>
            <w:r>
              <w:rPr>
                <w:rFonts w:hint="eastAsia" w:ascii="仿宋" w:hAnsi="仿宋" w:eastAsia="仿宋" w:cs="仿宋"/>
                <w:b/>
                <w:bCs/>
                <w:color w:val="000000"/>
                <w:sz w:val="28"/>
                <w:szCs w:val="28"/>
                <w:highlight w:val="white"/>
              </w:rPr>
              <w:t xml:space="preserve">日</w:t>
            </w:r>
            <w:r>
              <w:rPr>
                <w:rFonts w:hint="eastAsia" w:ascii="仿宋" w:hAnsi="仿宋" w:eastAsia="仿宋" w:cs="仿宋"/>
                <w:b/>
                <w:bCs/>
                <w:color w:val="000000"/>
                <w:sz w:val="28"/>
                <w:szCs w:val="28"/>
                <w:highlight w:val="white"/>
              </w:rPr>
              <w:t xml:space="preserve">09：30前</w:t>
            </w:r>
            <w:r>
              <w:rPr>
                <w:rFonts w:hint="eastAsia" w:ascii="仿宋" w:hAnsi="仿宋" w:eastAsia="仿宋" w:cs="仿宋"/>
                <w:b/>
                <w:bCs/>
                <w:sz w:val="28"/>
                <w:szCs w:val="28"/>
                <w:highlight w:val="white"/>
              </w:rPr>
              <w:t xml:space="preserve">。</w:t>
            </w:r>
            <w:r>
              <w:rPr>
                <w:highlight w:val="white"/>
              </w:rPr>
            </w:r>
          </w:p>
          <w:p>
            <w:pPr>
              <w:ind w:left="560" w:hanging="560"/>
              <w:rPr>
                <w:rFonts w:hint="eastAsia" w:ascii="仿宋" w:hAnsi="仿宋" w:eastAsia="仿宋" w:cs="仿宋"/>
                <w:sz w:val="28"/>
                <w:szCs w:val="28"/>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white"/>
              </w:rPr>
              <w:t xml:space="preserve">2、投标文件提交与接收地点：</w:t>
            </w:r>
            <w:r>
              <w:rPr>
                <w:highlight w:val="white"/>
              </w:rPr>
            </w:r>
          </w:p>
          <w:p>
            <w:pPr>
              <w:rPr>
                <w:rFonts w:hint="eastAsia" w:ascii="仿宋" w:hAnsi="仿宋" w:eastAsia="仿宋" w:cs="仿宋"/>
                <w:sz w:val="28"/>
                <w:szCs w:val="28"/>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white"/>
              </w:rPr>
              <w:t xml:space="preserve">投标人应当通过“苏采云”系统提交数据电文形式的投标文件（即电子投标），“苏采云”系统自动接收。</w:t>
            </w:r>
            <w:r>
              <w:rPr>
                <w:highlight w:val="white"/>
              </w:rPr>
            </w:r>
          </w:p>
        </w:tc>
      </w:tr>
      <w:tr>
        <w:trPr>
          <w:jc w:val="center"/>
          <w:trHeight w:val="1405"/>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white"/>
              </w:rPr>
              <w:t xml:space="preserve">电子投标文件应由其法定代表人或法定代表人授权代表在规定的网上投标时间内，</w:t>
            </w:r>
            <w:r>
              <w:rPr>
                <w:rFonts w:hint="eastAsia" w:ascii="仿宋" w:hAnsi="仿宋" w:eastAsia="仿宋" w:cs="仿宋"/>
                <w:b/>
                <w:sz w:val="28"/>
                <w:szCs w:val="28"/>
                <w:highlight w:val="white"/>
              </w:rPr>
              <w:t xml:space="preserve">凭 CA 证书登陆“苏采云”系统在线编制投标文件（电子数据），并在投标截止时间之前上传投标文件。并于开标时凭CA锁进行解密。</w:t>
            </w:r>
            <w:r>
              <w:rPr>
                <w:highlight w:val="white"/>
              </w:rP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white"/>
              </w:rPr>
              <w:t xml:space="preserve">开标</w:t>
            </w:r>
            <w:r>
              <w:rPr>
                <w:highlight w:val="white"/>
              </w:rPr>
            </w:r>
          </w:p>
        </w:tc>
      </w:tr>
      <w:tr>
        <w:trPr>
          <w:jc w:val="center"/>
          <w:trHeight w:val="251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hint="eastAsia" w:ascii="仿宋" w:hAnsi="仿宋" w:eastAsia="仿宋" w:cs="仿宋"/>
                <w:b/>
                <w:bCs/>
                <w:sz w:val="28"/>
                <w:szCs w:val="28"/>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white"/>
              </w:rPr>
              <w:t xml:space="preserve">开标时间及地点：</w:t>
            </w:r>
            <w:r>
              <w:rPr>
                <w:highlight w:val="white"/>
              </w:rPr>
              <w:tab/>
            </w:r>
            <w:r>
              <w:rPr>
                <w:highlight w:val="white"/>
              </w:rPr>
            </w:r>
          </w:p>
          <w:p>
            <w:pPr>
              <w:rPr>
                <w:rFonts w:hint="eastAsia" w:ascii="仿宋" w:hAnsi="仿宋" w:eastAsia="仿宋" w:cs="仿宋"/>
                <w:sz w:val="28"/>
                <w:szCs w:val="28"/>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white"/>
              </w:rPr>
              <w:t xml:space="preserve">1、开标时间：</w:t>
            </w:r>
            <w:r>
              <w:rPr>
                <w:rFonts w:hint="eastAsia" w:ascii="仿宋" w:hAnsi="仿宋" w:eastAsia="仿宋" w:cs="仿宋"/>
                <w:b/>
                <w:bCs/>
                <w:color w:val="000000"/>
                <w:sz w:val="28"/>
                <w:szCs w:val="28"/>
                <w:highlight w:val="white"/>
              </w:rPr>
              <w:t xml:space="preserve">2025年</w:t>
            </w:r>
            <w:r>
              <w:rPr>
                <w:rFonts w:hint="eastAsia" w:ascii="仿宋" w:hAnsi="仿宋" w:eastAsia="仿宋" w:cs="仿宋"/>
                <w:b/>
                <w:bCs/>
                <w:color w:val="000000"/>
                <w:sz w:val="28"/>
                <w:szCs w:val="28"/>
                <w:highlight w:val="white"/>
                <w:lang w:val="en-US" w:eastAsia="zh-CN"/>
              </w:rPr>
              <w:t xml:space="preserve">12</w:t>
            </w:r>
            <w:r>
              <w:rPr>
                <w:rFonts w:hint="eastAsia" w:ascii="仿宋" w:hAnsi="仿宋" w:eastAsia="仿宋" w:cs="仿宋"/>
                <w:b/>
                <w:bCs/>
                <w:color w:val="000000"/>
                <w:sz w:val="28"/>
                <w:szCs w:val="28"/>
                <w:highlight w:val="white"/>
              </w:rPr>
              <w:t xml:space="preserve">月</w:t>
            </w:r>
            <w:r>
              <w:rPr>
                <w:rFonts w:hint="eastAsia" w:ascii="仿宋" w:hAnsi="仿宋" w:eastAsia="仿宋" w:cs="仿宋"/>
                <w:b/>
                <w:bCs/>
                <w:color w:val="000000"/>
                <w:sz w:val="28"/>
                <w:szCs w:val="28"/>
                <w:highlight w:val="white"/>
                <w:lang w:val="en-US" w:eastAsia="zh-CN"/>
              </w:rPr>
              <w:t xml:space="preserve">30</w:t>
            </w:r>
            <w:r>
              <w:rPr>
                <w:rFonts w:hint="eastAsia" w:ascii="仿宋" w:hAnsi="仿宋" w:eastAsia="仿宋" w:cs="仿宋"/>
                <w:b/>
                <w:bCs/>
                <w:color w:val="000000"/>
                <w:sz w:val="28"/>
                <w:szCs w:val="28"/>
                <w:highlight w:val="white"/>
              </w:rPr>
              <w:t xml:space="preserve">日</w:t>
            </w:r>
            <w:r>
              <w:rPr>
                <w:rFonts w:hint="eastAsia" w:ascii="仿宋" w:hAnsi="仿宋" w:eastAsia="仿宋" w:cs="仿宋"/>
                <w:b/>
                <w:color w:val="000000"/>
                <w:sz w:val="28"/>
                <w:szCs w:val="28"/>
                <w:highlight w:val="white"/>
              </w:rPr>
              <w:t xml:space="preserve">09：30</w:t>
            </w:r>
            <w:r>
              <w:rPr>
                <w:rFonts w:hint="eastAsia" w:ascii="仿宋" w:hAnsi="仿宋" w:eastAsia="仿宋" w:cs="仿宋"/>
                <w:b/>
                <w:sz w:val="28"/>
                <w:szCs w:val="28"/>
                <w:highlight w:val="white"/>
              </w:rPr>
              <w:t xml:space="preserve">（标准时间）</w:t>
            </w:r>
            <w:r>
              <w:rPr>
                <w:highlight w:val="white"/>
              </w:rPr>
            </w:r>
          </w:p>
          <w:p>
            <w:pPr>
              <w:rPr>
                <w:rFonts w:hint="eastAsia" w:ascii="仿宋" w:hAnsi="仿宋" w:eastAsia="仿宋" w:cs="仿宋"/>
                <w:b/>
                <w:bCs/>
                <w:sz w:val="28"/>
                <w:szCs w:val="28"/>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white"/>
              </w:rPr>
              <w:t xml:space="preserve">2、开标地点：</w:t>
            </w:r>
            <w:r>
              <w:rPr>
                <w:highlight w:val="white"/>
              </w:rPr>
            </w:r>
          </w:p>
          <w:p>
            <w:pPr>
              <w:jc w:val="left"/>
              <w:rPr>
                <w:rFonts w:hint="eastAsia" w:ascii="仿宋" w:hAnsi="仿宋" w:eastAsia="仿宋" w:cs="仿宋"/>
                <w:sz w:val="28"/>
                <w:szCs w:val="28"/>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white"/>
              </w:rPr>
              <w:t xml:space="preserve">“苏采云”系统（网址： http://jszfcg.jsczt.cn/）“开标大厅”或进入徐州政府采购网（网址：http://czj.xz.gov.cn/Home/HomeIndex）--业务工作--用户登录，点击“苏采云”进入系统“开标大厅”。</w:t>
            </w:r>
            <w:r>
              <w:rPr>
                <w:highlight w:val="white"/>
              </w:rPr>
            </w:r>
          </w:p>
        </w:tc>
      </w:tr>
      <w:tr>
        <w:trPr>
          <w:jc w:val="center"/>
          <w:trHeight w:val="67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采用综合评分法。</w:t>
            </w:r>
            <w:r/>
          </w:p>
        </w:tc>
      </w:tr>
      <w:tr>
        <w:trPr>
          <w:jc w:val="center"/>
          <w:trHeight w:val="301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(二十八)1</w:t>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采用综合评分法的，按评审后得分由高到低顺序排列。得分相同的，按投标报价由低到高顺序排列。得分且投标报价相同的，按所投产品的技术参数得分顺序排列，得分且投标报价且所投产品的技术参数得分均相同的，按实施方案得分顺序排列。</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三、采购人应当自收到评标报告之日起５个工作日内，在评标报告确定的中标候选人名单中按得分最高顺序确定一名中标人。</w:t>
            </w:r>
            <w:r/>
          </w:p>
        </w:tc>
      </w:tr>
      <w:tr>
        <w:trPr>
          <w:jc w:val="center"/>
          <w:trHeight w:val="90"/>
        </w:trPr>
        <w:tc>
          <w:tcPr>
            <w:shd w:val="clear" w:color="auto" w:fill="auto"/>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二十九</w:t>
            </w:r>
            <w:r>
              <w:rPr>
                <w:rFonts w:hint="eastAsia" w:ascii="仿宋" w:hAnsi="仿宋" w:eastAsia="仿宋" w:cs="仿宋"/>
                <w:sz w:val="28"/>
                <w:szCs w:val="28"/>
                <w:lang w:eastAsia="zh-CN"/>
              </w:rPr>
              <w:t xml:space="preserve">）</w:t>
            </w:r>
            <w:r/>
          </w:p>
        </w:tc>
        <w:tc>
          <w:tcPr>
            <w:shd w:val="clear" w:color="auto" w:fill="auto"/>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(三十六)1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履约保证金：</w:t>
            </w:r>
            <w:r>
              <w:rPr>
                <w:rFonts w:hint="eastAsia" w:ascii="仿宋" w:hAnsi="仿宋" w:eastAsia="仿宋" w:cs="仿宋"/>
                <w:b/>
                <w:bCs/>
                <w:color w:val="000000"/>
                <w:sz w:val="28"/>
                <w:szCs w:val="28"/>
                <w:lang w:val="en-US" w:eastAsia="zh-CN"/>
              </w:rPr>
              <w:t xml:space="preserve">详见合同</w:t>
            </w:r>
            <w:r>
              <w:rPr>
                <w:rFonts w:hint="eastAsia" w:ascii="仿宋" w:hAnsi="仿宋" w:eastAsia="仿宋" w:cs="仿宋"/>
                <w:sz w:val="28"/>
                <w:szCs w:val="28"/>
              </w:rPr>
              <w:t xml:space="preserve">。</w:t>
            </w:r>
            <w:r/>
          </w:p>
        </w:tc>
      </w:tr>
      <w:tr>
        <w:trPr>
          <w:jc w:val="center"/>
          <w:trHeight w:val="1025"/>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(四十)</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质疑接收人：</w:t>
            </w:r>
            <w:r>
              <w:rPr>
                <w:rFonts w:hint="eastAsia" w:ascii="仿宋" w:hAnsi="仿宋" w:eastAsia="仿宋" w:cs="仿宋"/>
                <w:sz w:val="28"/>
                <w:szCs w:val="28"/>
                <w:lang w:eastAsia="zh-CN"/>
              </w:rPr>
              <w:t xml:space="preserve">李扬帆</w:t>
            </w:r>
            <w:r>
              <w:rPr>
                <w:rFonts w:hint="eastAsia" w:ascii="仿宋" w:hAnsi="仿宋" w:eastAsia="仿宋" w:cs="仿宋"/>
                <w:sz w:val="28"/>
                <w:szCs w:val="28"/>
              </w:rPr>
              <w:t xml:space="preserve">      联系电话：</w:t>
            </w:r>
            <w:r>
              <w:rPr>
                <w:rFonts w:hint="eastAsia" w:ascii="仿宋" w:hAnsi="仿宋" w:eastAsia="仿宋" w:cs="仿宋"/>
                <w:sz w:val="28"/>
                <w:szCs w:val="28"/>
                <w:lang w:eastAsia="zh-CN"/>
              </w:rPr>
              <w:t xml:space="preserve">0516-83796662</w:t>
            </w:r>
            <w:r/>
          </w:p>
          <w:p>
            <w:pPr>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地址：</w:t>
            </w:r>
            <w:r>
              <w:rPr>
                <w:rFonts w:hint="eastAsia" w:ascii="仿宋" w:hAnsi="仿宋" w:eastAsia="仿宋" w:cs="仿宋"/>
                <w:sz w:val="28"/>
                <w:szCs w:val="28"/>
                <w:lang w:eastAsia="zh-CN"/>
              </w:rPr>
              <w:t xml:space="preserve">徐州市云龙区汉风街道秦郡路中铁原香漫谷2号商业楼217-6-39室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附加说明</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p>
        </w:tc>
      </w:tr>
      <w:tr>
        <w:trPr>
          <w:jc w:val="center"/>
          <w:trHeight w:val="1633"/>
        </w:trPr>
        <w:tc>
          <w:tcPr>
            <w:tcMar>
              <w:left w:w="108" w:type="dxa"/>
              <w:top w:w="0" w:type="dxa"/>
              <w:right w:w="108" w:type="dxa"/>
              <w:bottom w:w="0" w:type="dxa"/>
            </w:tcMar>
            <w:tcW w:w="1471" w:type="dxa"/>
            <w:vMerge w:val="continue"/>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4、实施政府采购异常低价审查的有关要求：</w:t>
            </w:r>
            <w:r/>
          </w:p>
          <w:p>
            <w:pPr>
              <w:rPr>
                <w:rFonts w:hint="eastAsia"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4.1评审过程中出现下列情形之一的，评审委员会应当启动异常低价投标（响应）审查程序：</w:t>
            </w:r>
            <w:r/>
          </w:p>
          <w:p>
            <w:pPr>
              <w:rPr>
                <w:rFonts w:hint="eastAsia"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（1）投标（响应）报价低于采购项目预算50%的，即投标（响应）报价＜采购项目预算×50%；</w:t>
            </w:r>
            <w:r/>
          </w:p>
          <w:p>
            <w:pPr>
              <w:rPr>
                <w:rFonts w:hint="eastAsia"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（2）投标（响应）报价低于采购项目最高限价45％的，即投标（响应）报价＜采购项目最高限价×45%；</w:t>
            </w:r>
            <w:r/>
          </w:p>
          <w:p>
            <w:pPr>
              <w:rPr>
                <w:rFonts w:hint="eastAsia"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（3）评审委员会认定的供应商报价过低、有可能影响产品质量或者不能诚信履约的其他情形。</w:t>
            </w:r>
            <w:r/>
          </w:p>
          <w:p>
            <w:pPr>
              <w:rPr>
                <w:rFonts w:hint="eastAsia"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int="eastAsi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4.3未在规定时间内进行答疑澄清的，视同放弃澄清。</w:t>
            </w:r>
            <w:r/>
          </w:p>
        </w:tc>
      </w:tr>
    </w:tbl>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本章附件：</w:t>
      </w:r>
      <w:r>
        <w:rPr>
          <w:rFonts w:hint="eastAsia" w:ascii="仿宋" w:hAnsi="仿宋" w:eastAsia="仿宋" w:cs="仿宋"/>
          <w:b/>
          <w:sz w:val="30"/>
        </w:rPr>
        <w:t xml:space="preserve">招标代理服务收费标准</w:t>
      </w:r>
      <w:r/>
    </w:p>
    <w:p>
      <w:pPr>
        <w:ind w:firstLine="630"/>
        <w:jc w:val="center"/>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徐州市政府采购代理服务费行业指导价格</w:t>
      </w:r>
      <w:r/>
    </w:p>
    <w:tbl>
      <w:tblPr>
        <w:tblStyle w:val="752"/>
        <w:tblW w:w="7296"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717"/>
        </w:trPr>
        <w:tc>
          <w:tcPr>
            <w:tcBorders>
              <w:top w:val="single" w:color="auto" w:sz="4" w:space="0"/>
            </w:tcBorders>
            <w:tcW w:w="4746" w:type="dxa"/>
            <w:vAlign w:val="center"/>
            <w:textDirection w:val="lrTb"/>
            <w:noWrap w:val="false"/>
          </w:tcPr>
          <w:p>
            <w:pPr>
              <w:ind w:firstLine="630"/>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中标或者成交金额</w:t>
            </w:r>
            <w:r/>
          </w:p>
        </w:tc>
        <w:tc>
          <w:tcPr>
            <w:tcBorders>
              <w:top w:val="single" w:color="auto" w:sz="4" w:space="0"/>
            </w:tcBorders>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费率</w:t>
            </w:r>
            <w:r/>
          </w:p>
        </w:tc>
      </w:tr>
      <w:tr>
        <w:trPr>
          <w:jc w:val="center"/>
          <w:trHeight w:val="717"/>
        </w:trPr>
        <w:tc>
          <w:tcPr>
            <w:tcBorders>
              <w:top w:val="single" w:color="auto" w:sz="4" w:space="0"/>
            </w:tcBorders>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最低收费金额(每个委托项目)</w:t>
            </w:r>
            <w:r/>
          </w:p>
        </w:tc>
        <w:tc>
          <w:tcPr>
            <w:tcBorders>
              <w:top w:val="single" w:color="auto" w:sz="4" w:space="0"/>
            </w:tcBorders>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w:t>
            </w:r>
            <w:r>
              <w:rPr>
                <w:rFonts w:hint="eastAsia" w:ascii="仿宋" w:hAnsi="仿宋" w:eastAsia="仿宋" w:cs="仿宋"/>
                <w:color w:val="000000"/>
                <w:sz w:val="24"/>
                <w:lang w:eastAsia="en-US"/>
              </w:rPr>
              <w:t xml:space="preserve">0万以下</w:t>
            </w:r>
            <w:r>
              <w:rPr>
                <w:rFonts w:hint="eastAsia" w:ascii="仿宋" w:hAnsi="仿宋" w:eastAsia="仿宋" w:cs="仿宋"/>
                <w:color w:val="000000"/>
                <w:sz w:val="24"/>
              </w:rPr>
              <w:t xml:space="preserve">（含50万元）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1.</w:t>
            </w:r>
            <w:r>
              <w:rPr>
                <w:rFonts w:hint="eastAsia" w:ascii="仿宋" w:hAnsi="仿宋" w:eastAsia="仿宋" w:cs="仿宋"/>
                <w:color w:val="000000"/>
                <w:sz w:val="24"/>
              </w:rPr>
              <w:t xml:space="preserve">6</w:t>
            </w:r>
            <w:r>
              <w:rPr>
                <w:rFonts w:hint="eastAsia" w:ascii="仿宋" w:hAnsi="仿宋" w:eastAsia="仿宋" w:cs="仿宋"/>
                <w:color w:val="000000"/>
                <w:sz w:val="24"/>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50-4</w:t>
            </w:r>
            <w:r>
              <w:rPr>
                <w:rFonts w:hint="eastAsia" w:ascii="仿宋" w:hAnsi="仿宋" w:eastAsia="仿宋" w:cs="仿宋"/>
                <w:color w:val="000000"/>
                <w:sz w:val="24"/>
                <w:lang w:eastAsia="en-US"/>
              </w:rPr>
              <w:t xml:space="preserve">00万</w:t>
            </w:r>
            <w:r>
              <w:rPr>
                <w:rFonts w:hint="eastAsia" w:ascii="仿宋" w:hAnsi="仿宋" w:eastAsia="仿宋" w:cs="仿宋"/>
                <w:color w:val="000000"/>
                <w:sz w:val="24"/>
              </w:rPr>
              <w:t xml:space="preserve">（含400万元）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1.</w:t>
            </w:r>
            <w:r>
              <w:rPr>
                <w:rFonts w:hint="eastAsia" w:ascii="仿宋" w:hAnsi="仿宋" w:eastAsia="仿宋" w:cs="仿宋"/>
                <w:color w:val="000000"/>
                <w:sz w:val="24"/>
              </w:rPr>
              <w:t xml:space="preserve">5</w:t>
            </w:r>
            <w:r>
              <w:rPr>
                <w:rFonts w:hint="eastAsia" w:ascii="仿宋" w:hAnsi="仿宋" w:eastAsia="仿宋" w:cs="仿宋"/>
                <w:color w:val="000000"/>
                <w:sz w:val="24"/>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w:t>
            </w:r>
            <w:r>
              <w:rPr>
                <w:rFonts w:hint="eastAsia" w:ascii="仿宋" w:hAnsi="仿宋" w:eastAsia="仿宋" w:cs="仿宋"/>
                <w:color w:val="000000"/>
                <w:sz w:val="24"/>
                <w:lang w:eastAsia="en-US"/>
              </w:rPr>
              <w:t xml:space="preserve">00</w:t>
            </w:r>
            <w:r>
              <w:rPr>
                <w:rFonts w:hint="eastAsia" w:ascii="仿宋" w:hAnsi="仿宋" w:eastAsia="仿宋" w:cs="仿宋"/>
                <w:color w:val="000000"/>
                <w:sz w:val="24"/>
              </w:rPr>
              <w:t xml:space="preserve">-</w:t>
            </w:r>
            <w:r>
              <w:rPr>
                <w:rFonts w:hint="eastAsia" w:ascii="仿宋" w:hAnsi="仿宋" w:eastAsia="仿宋" w:cs="仿宋"/>
                <w:color w:val="000000"/>
                <w:sz w:val="24"/>
                <w:lang w:eastAsia="en-US"/>
              </w:rPr>
              <w:t xml:space="preserve">1000万</w:t>
            </w:r>
            <w:r>
              <w:rPr>
                <w:rFonts w:hint="eastAsia" w:ascii="仿宋" w:hAnsi="仿宋" w:eastAsia="仿宋" w:cs="仿宋"/>
                <w:color w:val="000000"/>
                <w:sz w:val="24"/>
              </w:rPr>
              <w:t xml:space="preserve">（含1000万元）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w:t>
            </w:r>
            <w:r>
              <w:rPr>
                <w:rFonts w:hint="eastAsia" w:ascii="仿宋" w:hAnsi="仿宋" w:eastAsia="仿宋" w:cs="仿宋"/>
                <w:color w:val="000000"/>
                <w:sz w:val="24"/>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l000</w:t>
            </w:r>
            <w:r>
              <w:rPr>
                <w:rFonts w:hint="eastAsia" w:ascii="仿宋" w:hAnsi="仿宋" w:eastAsia="仿宋" w:cs="仿宋"/>
                <w:color w:val="000000"/>
                <w:sz w:val="24"/>
              </w:rPr>
              <w:t xml:space="preserve">-</w:t>
            </w:r>
            <w:r>
              <w:rPr>
                <w:rFonts w:hint="eastAsia" w:ascii="仿宋" w:hAnsi="仿宋" w:eastAsia="仿宋" w:cs="仿宋"/>
                <w:color w:val="000000"/>
                <w:sz w:val="24"/>
                <w:lang w:eastAsia="en-US"/>
              </w:rPr>
              <w:t xml:space="preserve">5000万</w:t>
            </w:r>
            <w:r>
              <w:rPr>
                <w:rFonts w:hint="eastAsia" w:ascii="仿宋" w:hAnsi="仿宋" w:eastAsia="仿宋" w:cs="仿宋"/>
                <w:color w:val="000000"/>
                <w:sz w:val="24"/>
              </w:rPr>
              <w:t xml:space="preserve">（含5000万元）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w:t>
            </w:r>
            <w:r>
              <w:rPr>
                <w:rFonts w:hint="eastAsia" w:ascii="仿宋" w:hAnsi="仿宋" w:eastAsia="仿宋" w:cs="仿宋"/>
                <w:color w:val="000000"/>
                <w:sz w:val="24"/>
              </w:rPr>
              <w:t xml:space="preserve">8</w:t>
            </w:r>
            <w:r>
              <w:rPr>
                <w:rFonts w:hint="eastAsia" w:ascii="仿宋" w:hAnsi="仿宋" w:eastAsia="仿宋" w:cs="仿宋"/>
                <w:color w:val="000000"/>
                <w:sz w:val="24"/>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5000</w:t>
            </w:r>
            <w:r>
              <w:rPr>
                <w:rFonts w:hint="eastAsia" w:ascii="仿宋" w:hAnsi="仿宋" w:eastAsia="仿宋" w:cs="仿宋"/>
                <w:color w:val="000000"/>
                <w:sz w:val="24"/>
              </w:rPr>
              <w:t xml:space="preserve">-</w:t>
            </w:r>
            <w:r>
              <w:rPr>
                <w:rFonts w:hint="eastAsia" w:ascii="仿宋" w:hAnsi="仿宋" w:eastAsia="仿宋" w:cs="仿宋"/>
                <w:color w:val="000000"/>
                <w:sz w:val="24"/>
                <w:lang w:eastAsia="en-US"/>
              </w:rPr>
              <w:t xml:space="preserve">l亿</w:t>
            </w:r>
            <w:r>
              <w:rPr>
                <w:rFonts w:hint="eastAsia" w:ascii="仿宋" w:hAnsi="仿宋" w:eastAsia="仿宋" w:cs="仿宋"/>
                <w:color w:val="000000"/>
                <w:sz w:val="24"/>
              </w:rPr>
              <w:t xml:space="preserve">（含1亿元）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1亿</w:t>
            </w:r>
            <w:r>
              <w:rPr>
                <w:rFonts w:hint="eastAsia" w:ascii="仿宋" w:hAnsi="仿宋" w:eastAsia="仿宋" w:cs="仿宋"/>
                <w:color w:val="000000"/>
                <w:sz w:val="24"/>
              </w:rPr>
              <w:t xml:space="preserve">-10</w:t>
            </w:r>
            <w:r>
              <w:rPr>
                <w:rFonts w:hint="eastAsia" w:ascii="仿宋" w:hAnsi="仿宋" w:eastAsia="仿宋" w:cs="仿宋"/>
                <w:color w:val="000000"/>
                <w:sz w:val="24"/>
                <w:lang w:eastAsia="en-US"/>
              </w:rPr>
              <w:t xml:space="preserve">亿</w:t>
            </w:r>
            <w:r>
              <w:rPr>
                <w:rFonts w:hint="eastAsia" w:ascii="仿宋" w:hAnsi="仿宋" w:eastAsia="仿宋" w:cs="仿宋"/>
                <w:color w:val="000000"/>
                <w:sz w:val="24"/>
              </w:rPr>
              <w:t xml:space="preserve">（含10亿元）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10-5</w:t>
            </w:r>
            <w:r>
              <w:rPr>
                <w:rFonts w:hint="eastAsia" w:ascii="仿宋" w:hAnsi="仿宋" w:eastAsia="仿宋" w:cs="仿宋"/>
                <w:color w:val="000000"/>
                <w:sz w:val="24"/>
                <w:lang w:eastAsia="en-US"/>
              </w:rPr>
              <w:t xml:space="preserve">0亿</w:t>
            </w:r>
            <w:r>
              <w:rPr>
                <w:rFonts w:hint="eastAsia" w:ascii="仿宋" w:hAnsi="仿宋" w:eastAsia="仿宋" w:cs="仿宋"/>
                <w:color w:val="000000"/>
                <w:sz w:val="24"/>
              </w:rPr>
              <w:t xml:space="preserve">（含50亿元）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0.0</w:t>
            </w:r>
            <w:r>
              <w:rPr>
                <w:rFonts w:hint="eastAsia" w:ascii="仿宋" w:hAnsi="仿宋" w:eastAsia="仿宋" w:cs="仿宋"/>
                <w:color w:val="000000"/>
                <w:sz w:val="24"/>
              </w:rPr>
              <w:t xml:space="preserve">1</w:t>
            </w:r>
            <w:r>
              <w:rPr>
                <w:rFonts w:hint="eastAsia" w:ascii="仿宋" w:hAnsi="仿宋" w:eastAsia="仿宋" w:cs="仿宋"/>
                <w:color w:val="000000"/>
                <w:sz w:val="24"/>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50亿以上</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0.00</w:t>
            </w:r>
            <w:r>
              <w:rPr>
                <w:rFonts w:hint="eastAsia" w:ascii="仿宋" w:hAnsi="仿宋" w:eastAsia="仿宋" w:cs="仿宋"/>
                <w:color w:val="000000"/>
                <w:sz w:val="24"/>
              </w:rPr>
              <w:t xml:space="preserve">5</w:t>
            </w:r>
            <w:r>
              <w:rPr>
                <w:rFonts w:hint="eastAsia" w:ascii="仿宋" w:hAnsi="仿宋" w:eastAsia="仿宋" w:cs="仿宋"/>
                <w:color w:val="000000"/>
                <w:sz w:val="24"/>
                <w:lang w:eastAsia="en-US"/>
              </w:rPr>
              <w:t xml:space="preserve">%</w:t>
            </w:r>
            <w:r/>
          </w:p>
        </w:tc>
      </w:tr>
    </w:tbl>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说明:</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1.按上表计算的收费为代理服务全过程的收费金额。各社会代理机构不再收取采购文件制作售卖费用。</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2.代理服务费按差额定率累进法计算。</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3.代理服务费基准金额(按差额定率累进法计算的)=中标金额(按差额定率累进法计算的)*费率(%)</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4.代理服务费应收取金额=代理服务费基准金额(按差额定率累进法计算的)的合计数。</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5.定点类等无金额或事先不能计算出价格总额的项目，按中标(成交)金额 100万元计算。</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6.有分包(分标段)的按一个项目计算。</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7.以上价格为协会指导价，双方可根据项目难易程度和优质优价原则协商确定。</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8.代理服务费用缴纳账户信息：</w:t>
      </w:r>
      <w:r/>
    </w:p>
    <w:p>
      <w:pPr>
        <w:ind w:firstLine="630"/>
        <w:spacing w:before="220" w:after="200" w:line="276" w:lineRule="auto"/>
        <w:widowControl/>
        <w:rPr>
          <w:rFonts w:hint="eastAsia" w:ascii="仿宋" w:hAnsi="仿宋" w:eastAsia="仿宋" w:cs="仿宋"/>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账户名称：</w:t>
      </w:r>
      <w:r>
        <w:rPr>
          <w:rFonts w:hint="eastAsia" w:ascii="仿宋" w:hAnsi="仿宋" w:eastAsia="仿宋" w:cs="仿宋"/>
          <w:color w:val="000000"/>
          <w:sz w:val="24"/>
          <w:highlight w:val="none"/>
          <w:lang w:eastAsia="zh-CN"/>
        </w:rPr>
        <w:t xml:space="preserve">徐州维正工程咨询有限公司</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开户银行：徐州农村商业银行御景湾支行 </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账号：3203020341010000010793</w:t>
      </w:r>
      <w:r/>
    </w:p>
    <w:p>
      <w:pPr>
        <w:ind w:firstLine="241"/>
        <w:rPr>
          <w:rFonts w:hint="eastAsia" w:ascii="仿宋" w:hAnsi="仿宋" w:eastAsia="仿宋" w:cs="仿宋"/>
          <w:b/>
          <w:sz w:val="24"/>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4"/>
          <w:highlight w:val="yellow"/>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第四章 评标标准 </w:t>
      </w:r>
      <w:r/>
    </w:p>
    <w:tbl>
      <w:tblPr>
        <w:tblStyle w:val="752"/>
        <w:tblW w:w="10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8913"/>
      </w:tblGrid>
      <w:tr>
        <w:trPr>
          <w:jc w:val="center"/>
          <w:trHeight w:val="454"/>
        </w:trPr>
        <w:tc>
          <w:tcPr>
            <w:tcW w:w="1577" w:type="dxa"/>
            <w:vAlign w:val="center"/>
            <w:textDirection w:val="lrTb"/>
            <w:noWrap w:val="false"/>
          </w:tcPr>
          <w:p>
            <w:pPr>
              <w:jc w:val="center"/>
              <w:spacing w:after="0"/>
              <w:rPr>
                <w:rFonts w:hint="eastAsia" w:ascii="仿宋" w:hAnsi="仿宋" w:eastAsia="仿宋" w:cs="仿宋"/>
                <w:b/>
                <w:bCs/>
                <w:sz w:val="28"/>
                <w:szCs w:val="28"/>
              </w:rPr>
            </w:pPr>
            <w:r>
              <w:rPr>
                <w:rFonts w:hint="eastAsia" w:ascii="仿宋" w:hAnsi="仿宋" w:eastAsia="仿宋" w:cs="仿宋"/>
                <w:b/>
                <w:bCs/>
                <w:sz w:val="28"/>
                <w:szCs w:val="28"/>
              </w:rPr>
              <w:t xml:space="preserve">评分内容</w:t>
            </w:r>
            <w:r/>
          </w:p>
        </w:tc>
        <w:tc>
          <w:tcPr>
            <w:tcW w:w="8913" w:type="dxa"/>
            <w:vAlign w:val="center"/>
            <w:textDirection w:val="lrTb"/>
            <w:noWrap w:val="false"/>
          </w:tcPr>
          <w:p>
            <w:pPr>
              <w:jc w:val="center"/>
              <w:spacing w:after="0"/>
              <w:rPr>
                <w:rFonts w:hint="eastAsia" w:ascii="仿宋" w:hAnsi="仿宋" w:eastAsia="仿宋" w:cs="仿宋"/>
                <w:b/>
                <w:bCs/>
                <w:sz w:val="28"/>
                <w:szCs w:val="28"/>
              </w:rPr>
            </w:pPr>
            <w:r>
              <w:rPr>
                <w:rFonts w:hint="eastAsia" w:ascii="仿宋" w:hAnsi="仿宋" w:eastAsia="仿宋" w:cs="仿宋"/>
                <w:b/>
                <w:bCs/>
                <w:sz w:val="28"/>
                <w:szCs w:val="28"/>
              </w:rPr>
              <w:t xml:space="preserve">评分标准</w:t>
            </w:r>
            <w:r/>
          </w:p>
        </w:tc>
      </w:tr>
      <w:tr>
        <w:trPr>
          <w:jc w:val="center"/>
          <w:trHeight w:val="962"/>
        </w:trPr>
        <w:tc>
          <w:tcPr>
            <w:tcW w:w="1577" w:type="dxa"/>
            <w:vAlign w:val="center"/>
            <w:textDirection w:val="lrTb"/>
            <w:noWrap w:val="false"/>
          </w:tcPr>
          <w:p>
            <w:pPr>
              <w:jc w:val="center"/>
              <w:spacing w:after="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投标报价（30分）</w:t>
            </w:r>
            <w:r/>
          </w:p>
        </w:tc>
        <w:tc>
          <w:tcPr>
            <w:tcW w:w="8913" w:type="dxa"/>
            <w:vAlign w:val="center"/>
            <w:textDirection w:val="lrTb"/>
            <w:noWrap w:val="false"/>
          </w:tcPr>
          <w:p>
            <w:pPr>
              <w:jc w:val="both"/>
              <w:spacing w:after="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各投标人价格得分=最低报价（投标人的最低评审价格）÷各投标人评审价格×30</w:t>
            </w:r>
            <w:r/>
          </w:p>
          <w:p>
            <w:pPr>
              <w:jc w:val="both"/>
              <w:spacing w:after="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注：得分四舍五入保留小数点后 2 位。</w:t>
            </w:r>
            <w:r/>
          </w:p>
        </w:tc>
      </w:tr>
      <w:tr>
        <w:trPr>
          <w:jc w:val="center"/>
          <w:trHeight w:val="2507"/>
        </w:trPr>
        <w:tc>
          <w:tcPr>
            <w:tcW w:w="1577" w:type="dxa"/>
            <w:vAlign w:val="center"/>
            <w:textDirection w:val="lrTb"/>
            <w:noWrap w:val="false"/>
          </w:tcPr>
          <w:p>
            <w:pPr>
              <w:jc w:val="center"/>
              <w:spacing w:after="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企业综合实力</w:t>
            </w:r>
            <w:r/>
          </w:p>
          <w:p>
            <w:pPr>
              <w:jc w:val="center"/>
              <w:spacing w:after="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w:t>
            </w:r>
            <w:r/>
          </w:p>
        </w:tc>
        <w:tc>
          <w:tcPr>
            <w:tcW w:w="8913" w:type="dxa"/>
            <w:vAlign w:val="center"/>
            <w:textDirection w:val="lrTb"/>
            <w:noWrap w:val="false"/>
          </w:tcPr>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1、体系认证证书（1分）：</w:t>
            </w:r>
            <w:r/>
          </w:p>
          <w:p>
            <w:pPr>
              <w:jc w:val="both"/>
              <w:spacing w:after="0"/>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rPr>
              <w:t xml:space="preserve">投标人具有有效期内的职业健康安全管理体系认证证书、质量管理体系认证证书、环境管理体系认证证书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三者同时具备的</w:t>
            </w:r>
            <w:r>
              <w:rPr>
                <w:rFonts w:hint="default"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1</w:t>
            </w:r>
            <w:r>
              <w:rPr>
                <w:rFonts w:hint="default"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其他不得</w:t>
            </w:r>
            <w:r>
              <w:rPr>
                <w:rFonts w:hint="default" w:ascii="仿宋" w:hAnsi="仿宋" w:eastAsia="仿宋" w:cs="仿宋"/>
                <w:color w:val="000000"/>
                <w:sz w:val="28"/>
                <w:szCs w:val="28"/>
                <w:highlight w:val="none"/>
              </w:rPr>
              <w:t xml:space="preserve">分。</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2、投标人</w:t>
            </w:r>
            <w:r>
              <w:rPr>
                <w:rFonts w:hint="eastAsia" w:ascii="仿宋" w:hAnsi="仿宋" w:eastAsia="仿宋" w:cs="仿宋"/>
                <w:color w:val="000000"/>
                <w:sz w:val="28"/>
                <w:szCs w:val="28"/>
                <w:highlight w:val="none"/>
              </w:rPr>
              <w:t xml:space="preserve">获得</w:t>
            </w:r>
            <w:r>
              <w:rPr>
                <w:rFonts w:hint="eastAsia" w:ascii="仿宋" w:hAnsi="仿宋" w:eastAsia="仿宋" w:cs="仿宋"/>
                <w:color w:val="000000"/>
                <w:sz w:val="28"/>
                <w:szCs w:val="28"/>
                <w:highlight w:val="none"/>
                <w:lang w:val="en-US" w:eastAsia="zh-CN"/>
              </w:rPr>
              <w:t xml:space="preserve">类似于站房综合管理软件的著作权证书</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环境监测数据综合应用平台的软件著作权证书、环保设备运维管控系统的软件著作权证书</w:t>
            </w:r>
            <w:r>
              <w:rPr>
                <w:rFonts w:hint="eastAsia" w:ascii="仿宋" w:hAnsi="仿宋" w:eastAsia="仿宋" w:cs="仿宋"/>
                <w:color w:val="000000"/>
                <w:sz w:val="28"/>
                <w:szCs w:val="28"/>
                <w:highlight w:val="none"/>
              </w:rPr>
              <w:t xml:space="preserve">等相关证书</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每有1项得1分，最高得3分。</w:t>
            </w:r>
            <w:r/>
          </w:p>
          <w:p>
            <w:pPr>
              <w:jc w:val="both"/>
              <w:spacing w:after="0"/>
              <w:rPr>
                <w:rFonts w:hint="default" w:ascii="仿宋" w:hAnsi="仿宋" w:eastAsia="仿宋" w:cs="仿宋"/>
                <w:b w:val="0"/>
                <w:bCs w:val="0"/>
                <w:color w:val="000000"/>
                <w:sz w:val="28"/>
                <w:szCs w:val="28"/>
                <w:lang w:val="en-US" w:eastAsia="zh-CN"/>
              </w:rPr>
            </w:pPr>
            <w:r>
              <w:rPr>
                <w:rFonts w:hint="eastAsia" w:ascii="仿宋" w:hAnsi="仿宋" w:eastAsia="仿宋" w:cs="仿宋"/>
                <w:color w:val="000000"/>
                <w:sz w:val="28"/>
                <w:szCs w:val="28"/>
                <w:highlight w:val="none"/>
                <w:lang w:val="en-US" w:eastAsia="zh-CN"/>
              </w:rPr>
            </w:r>
            <w:r>
              <w:rPr>
                <w:rFonts w:ascii="FangSong" w:hAnsi="FangSong" w:eastAsia="FangSong" w:cs="FangSong"/>
                <w:b/>
                <w:color w:val="000000"/>
                <w:sz w:val="28"/>
              </w:rPr>
              <w:t xml:space="preserve">注：提供上述证明材料原件的扫描件并加盖投标人电子签章，否则不得分。</w:t>
            </w:r>
            <w:r>
              <w:rPr>
                <w:rFonts w:hint="eastAsia" w:ascii="仿宋" w:hAnsi="仿宋" w:eastAsia="仿宋" w:cs="仿宋"/>
                <w:color w:val="000000"/>
                <w:sz w:val="28"/>
                <w:szCs w:val="28"/>
                <w:highlight w:val="none"/>
                <w:lang w:val="en-US" w:eastAsia="zh-CN"/>
              </w:rPr>
            </w:r>
            <w:r/>
          </w:p>
        </w:tc>
      </w:tr>
      <w:tr>
        <w:trPr>
          <w:jc w:val="center"/>
          <w:trHeight w:val="1718"/>
        </w:trPr>
        <w:tc>
          <w:tcPr>
            <w:tcW w:w="1577" w:type="dxa"/>
            <w:vAlign w:val="center"/>
            <w:textDirection w:val="lrTb"/>
            <w:noWrap w:val="false"/>
          </w:tcPr>
          <w:p>
            <w:pPr>
              <w:jc w:val="center"/>
              <w:spacing w:after="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类似业绩（4分）</w:t>
            </w:r>
            <w:r/>
          </w:p>
        </w:tc>
        <w:tc>
          <w:tcPr>
            <w:tcW w:w="8913" w:type="dxa"/>
            <w:vAlign w:val="center"/>
            <w:textDirection w:val="lrTb"/>
            <w:noWrap w:val="false"/>
          </w:tcPr>
          <w:p>
            <w:pPr>
              <w:jc w:val="both"/>
              <w:spacing w:after="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投标人提供自</w:t>
            </w:r>
            <w:r>
              <w:rPr>
                <w:rFonts w:hint="eastAsia" w:ascii="仿宋" w:hAnsi="仿宋" w:eastAsia="仿宋" w:cs="仿宋"/>
                <w:color w:val="000000"/>
                <w:sz w:val="28"/>
                <w:szCs w:val="28"/>
              </w:rPr>
              <w:t xml:space="preserve">202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年1月1日</w:t>
            </w:r>
            <w:r>
              <w:rPr>
                <w:rFonts w:hint="eastAsia" w:ascii="仿宋" w:hAnsi="仿宋" w:eastAsia="仿宋" w:cs="仿宋"/>
                <w:color w:val="000000"/>
                <w:sz w:val="28"/>
                <w:szCs w:val="28"/>
                <w:lang w:val="en-US" w:eastAsia="zh-CN"/>
              </w:rPr>
              <w:t xml:space="preserve">以来类似业绩的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lang w:val="en-US" w:eastAsia="zh-CN"/>
              </w:rPr>
              <w:t xml:space="preserve">水质自动/在线监测设备项目</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，每</w:t>
            </w:r>
            <w:r>
              <w:rPr>
                <w:rFonts w:hint="eastAsia" w:ascii="仿宋" w:hAnsi="仿宋" w:eastAsia="仿宋" w:cs="仿宋"/>
                <w:color w:val="000000"/>
                <w:sz w:val="28"/>
                <w:szCs w:val="28"/>
                <w:lang w:val="en-US" w:eastAsia="zh-CN"/>
              </w:rPr>
              <w:t xml:space="preserve">有一</w:t>
            </w:r>
            <w:r>
              <w:rPr>
                <w:rFonts w:hint="eastAsia" w:ascii="仿宋" w:hAnsi="仿宋" w:eastAsia="仿宋" w:cs="仿宋"/>
                <w:color w:val="000000"/>
                <w:sz w:val="28"/>
                <w:szCs w:val="28"/>
              </w:rPr>
              <w:t xml:space="preserve">份得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分，本项最高得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w:t>
            </w:r>
            <w:r/>
          </w:p>
          <w:p>
            <w:pPr>
              <w:jc w:val="both"/>
              <w:spacing w:after="0"/>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rPr>
              <w:t xml:space="preserve">投标文件中</w:t>
            </w:r>
            <w:r>
              <w:rPr>
                <w:rFonts w:hint="eastAsia" w:ascii="仿宋" w:hAnsi="仿宋" w:eastAsia="仿宋" w:cs="仿宋"/>
                <w:b/>
                <w:bCs/>
                <w:color w:val="000000"/>
                <w:sz w:val="28"/>
                <w:szCs w:val="28"/>
                <w:lang w:val="en-US" w:eastAsia="zh-CN"/>
              </w:rPr>
              <w:t xml:space="preserve">应</w:t>
            </w:r>
            <w:r>
              <w:rPr>
                <w:rFonts w:hint="eastAsia" w:ascii="仿宋" w:hAnsi="仿宋" w:eastAsia="仿宋" w:cs="仿宋"/>
                <w:b/>
                <w:bCs/>
                <w:color w:val="000000"/>
                <w:sz w:val="28"/>
                <w:szCs w:val="28"/>
              </w:rPr>
              <w:t xml:space="preserve">提供业绩合同</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中标通知书、发票</w:t>
            </w:r>
            <w:r>
              <w:rPr>
                <w:rFonts w:hint="eastAsia" w:ascii="仿宋" w:hAnsi="仿宋" w:eastAsia="仿宋" w:cs="仿宋"/>
                <w:b/>
                <w:bCs/>
                <w:color w:val="000000"/>
                <w:sz w:val="28"/>
                <w:szCs w:val="28"/>
              </w:rPr>
              <w:t xml:space="preserve">扫描件并加盖电子签章，</w:t>
            </w:r>
            <w:r>
              <w:rPr>
                <w:rFonts w:hint="eastAsia" w:ascii="仿宋" w:hAnsi="仿宋" w:eastAsia="仿宋" w:cs="仿宋"/>
                <w:b/>
                <w:bCs/>
                <w:color w:val="000000"/>
                <w:sz w:val="28"/>
                <w:szCs w:val="28"/>
                <w:lang w:val="en-US" w:eastAsia="zh-CN"/>
              </w:rPr>
              <w:t xml:space="preserve">三者缺一则</w:t>
            </w:r>
            <w:r>
              <w:rPr>
                <w:rFonts w:hint="eastAsia" w:ascii="仿宋" w:hAnsi="仿宋" w:eastAsia="仿宋" w:cs="仿宋"/>
                <w:b/>
                <w:bCs/>
                <w:color w:val="000000"/>
                <w:sz w:val="28"/>
                <w:szCs w:val="28"/>
              </w:rPr>
              <w:t xml:space="preserve">不得分。</w:t>
            </w:r>
            <w:r/>
          </w:p>
        </w:tc>
      </w:tr>
      <w:tr>
        <w:trPr>
          <w:jc w:val="center"/>
          <w:trHeight w:val="90"/>
        </w:trPr>
        <w:tc>
          <w:tcPr>
            <w:tcW w:w="1577" w:type="dxa"/>
            <w:vAlign w:val="center"/>
            <w:textDirection w:val="lrTb"/>
            <w:noWrap w:val="false"/>
          </w:tcPr>
          <w:p>
            <w:pPr>
              <w:jc w:val="center"/>
              <w:spacing w:after="0"/>
              <w:rPr>
                <w:rFonts w:hint="eastAsia" w:ascii="仿宋" w:hAnsi="仿宋" w:eastAsia="仿宋" w:cs="仿宋"/>
                <w:sz w:val="28"/>
                <w:szCs w:val="28"/>
              </w:rPr>
            </w:pPr>
            <w:r>
              <w:rPr>
                <w:rFonts w:hint="eastAsia" w:ascii="仿宋" w:hAnsi="仿宋" w:eastAsia="仿宋" w:cs="仿宋"/>
                <w:sz w:val="28"/>
                <w:szCs w:val="28"/>
              </w:rPr>
              <w:t xml:space="preserve">技术参数（30分）</w:t>
            </w:r>
            <w:r/>
          </w:p>
        </w:tc>
        <w:tc>
          <w:tcPr>
            <w:tcW w:w="8913" w:type="dxa"/>
            <w:vAlign w:val="center"/>
            <w:textDirection w:val="lrTb"/>
            <w:noWrap w:val="false"/>
          </w:tcPr>
          <w:p>
            <w:pPr>
              <w:jc w:val="both"/>
              <w:spacing w:after="0"/>
              <w:rPr>
                <w:rFonts w:hint="eastAsia" w:ascii="仿宋" w:hAnsi="仿宋" w:eastAsia="仿宋" w:cs="仿宋"/>
                <w:sz w:val="28"/>
                <w:szCs w:val="28"/>
              </w:rPr>
            </w:pPr>
            <w:r>
              <w:rPr>
                <w:rFonts w:hint="eastAsia" w:ascii="仿宋" w:hAnsi="仿宋" w:eastAsia="仿宋" w:cs="仿宋"/>
                <w:sz w:val="28"/>
                <w:szCs w:val="28"/>
              </w:rPr>
              <w:t xml:space="preserve">依据投标文件中偏离表、技术规格说明对招标文件采购需求</w:t>
            </w:r>
            <w:r>
              <w:rPr>
                <w:rFonts w:hint="eastAsia" w:ascii="仿宋" w:hAnsi="仿宋" w:eastAsia="仿宋" w:cs="仿宋"/>
                <w:sz w:val="28"/>
                <w:szCs w:val="28"/>
                <w:lang w:val="en-US" w:eastAsia="zh-CN"/>
              </w:rPr>
              <w:t xml:space="preserve">中的</w:t>
            </w:r>
            <w:r>
              <w:rPr>
                <w:rFonts w:hint="eastAsia" w:ascii="仿宋" w:hAnsi="仿宋" w:eastAsia="仿宋" w:cs="仿宋"/>
                <w:sz w:val="28"/>
                <w:szCs w:val="28"/>
              </w:rPr>
              <w:t xml:space="preserve">“技术</w:t>
            </w:r>
            <w:r>
              <w:rPr>
                <w:rFonts w:hint="eastAsia" w:ascii="仿宋" w:hAnsi="仿宋" w:eastAsia="仿宋" w:cs="仿宋"/>
                <w:sz w:val="28"/>
                <w:szCs w:val="28"/>
                <w:lang w:val="en-US" w:eastAsia="zh-CN"/>
              </w:rPr>
              <w:t xml:space="preserve">要求</w:t>
            </w:r>
            <w:r>
              <w:rPr>
                <w:rFonts w:hint="eastAsia" w:ascii="仿宋" w:hAnsi="仿宋" w:eastAsia="仿宋" w:cs="仿宋"/>
                <w:sz w:val="28"/>
                <w:szCs w:val="28"/>
              </w:rPr>
              <w:t xml:space="preserve">”满足程度进行评价。</w:t>
            </w:r>
            <w:r/>
          </w:p>
          <w:p>
            <w:pPr>
              <w:ind w:left="0" w:right="0" w:firstLine="0"/>
              <w:spacing w:before="0" w:after="0"/>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所</w:t>
            </w:r>
            <w:r>
              <w:rPr>
                <w:rFonts w:hint="eastAsia" w:ascii="仿宋" w:hAnsi="仿宋" w:eastAsia="仿宋" w:cs="仿宋"/>
                <w:sz w:val="28"/>
                <w:szCs w:val="28"/>
              </w:rPr>
              <w:t xml:space="preserve">有技术参数全部满足或优于招标文件中“招标项目的技术规格、要求和</w:t>
            </w:r>
            <w:r>
              <w:rPr>
                <w:rFonts w:hint="eastAsia" w:ascii="仿宋" w:hAnsi="仿宋" w:eastAsia="仿宋" w:cs="仿宋"/>
                <w:sz w:val="28"/>
                <w:szCs w:val="28"/>
                <w:highlight w:val="none"/>
              </w:rPr>
              <w:t xml:space="preserve">数量等”技术参数的，得</w:t>
            </w:r>
            <w:r>
              <w:rPr>
                <w:rFonts w:hint="eastAsia" w:ascii="仿宋" w:hAnsi="仿宋" w:eastAsia="仿宋" w:cs="仿宋"/>
                <w:sz w:val="28"/>
                <w:szCs w:val="28"/>
                <w:highlight w:val="none"/>
                <w:lang w:val="en-US" w:eastAsia="zh-CN"/>
              </w:rPr>
              <w:t xml:space="preserve">30</w:t>
            </w:r>
            <w:r>
              <w:rPr>
                <w:rFonts w:hint="eastAsia" w:ascii="仿宋" w:hAnsi="仿宋" w:eastAsia="仿宋" w:cs="仿宋"/>
                <w:sz w:val="28"/>
                <w:szCs w:val="28"/>
                <w:highlight w:val="none"/>
              </w:rPr>
              <w:t xml:space="preserve">分；其中带“▲”号指标为重要指标，每有一项带“▲”号指标负偏离的扣</w:t>
            </w:r>
            <w:r>
              <w:rPr>
                <w:rFonts w:hint="eastAsia" w:ascii="仿宋" w:hAnsi="仿宋" w:eastAsia="仿宋" w:cs="仿宋"/>
                <w:sz w:val="28"/>
                <w:szCs w:val="28"/>
                <w:highlight w:val="none"/>
                <w:lang w:val="en-US" w:eastAsia="zh-CN"/>
              </w:rPr>
              <w:t xml:space="preserve">1.5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rPr>
                <w:rFonts w:hint="eastAsia" w:ascii="仿宋" w:hAnsi="仿宋" w:eastAsia="仿宋" w:cs="仿宋"/>
                <w:color w:val="000000"/>
                <w:sz w:val="28"/>
                <w:szCs w:val="28"/>
                <w:highlight w:val="none"/>
                <w:lang w:val="en-US" w:eastAsia="zh-CN" w:bidi="ar-SA"/>
              </w:rPr>
              <w:t xml:space="preserve">未加“▲”部分为一般技术参数，每有一项不满足或负偏离的扣0.5分；本项最高得30分，最低得0分。</w:t>
            </w:r>
            <w:r/>
          </w:p>
          <w:p>
            <w:pPr>
              <w:jc w:val="both"/>
              <w:spacing w:after="0"/>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“▲”标注项要求提供</w:t>
            </w:r>
            <w:r>
              <w:rPr>
                <w:rFonts w:hint="eastAsia" w:ascii="仿宋" w:hAnsi="仿宋" w:eastAsia="仿宋" w:cs="仿宋"/>
                <w:sz w:val="28"/>
                <w:szCs w:val="28"/>
                <w:highlight w:val="none"/>
                <w:lang w:val="en-US" w:eastAsia="zh-CN"/>
              </w:rPr>
              <w:t xml:space="preserve">本项目采购需求中要求的</w:t>
            </w:r>
            <w:r>
              <w:rPr>
                <w:rFonts w:hint="eastAsia" w:ascii="仿宋" w:hAnsi="仿宋" w:eastAsia="仿宋" w:cs="仿宋"/>
                <w:sz w:val="28"/>
                <w:szCs w:val="28"/>
                <w:highlight w:val="none"/>
              </w:rPr>
              <w:t xml:space="preserve">相关检测报告</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未按要求提供或未提供的，视为不满足。）</w:t>
            </w:r>
            <w:r/>
          </w:p>
          <w:p>
            <w:pPr>
              <w:jc w:val="both"/>
              <w:spacing w:after="0"/>
              <w:rPr>
                <w:rFonts w:hint="default" w:ascii="仿宋" w:hAnsi="仿宋" w:eastAsia="仿宋" w:cs="仿宋"/>
                <w:b/>
                <w:bCs/>
                <w:sz w:val="28"/>
                <w:szCs w:val="28"/>
                <w:lang w:val="en-US" w:eastAsia="zh-CN"/>
              </w:rPr>
            </w:pPr>
            <w:r>
              <w:rPr>
                <w:rFonts w:hint="eastAsia" w:ascii="仿宋" w:hAnsi="仿宋" w:eastAsia="仿宋" w:cs="仿宋"/>
                <w:b w:val="0"/>
                <w:bCs w:val="0"/>
                <w:sz w:val="28"/>
                <w:szCs w:val="28"/>
                <w:lang w:val="en-US" w:eastAsia="zh-CN"/>
              </w:rPr>
              <w:t xml:space="preserve">2.</w:t>
            </w:r>
            <w:r>
              <w:rPr>
                <w:rFonts w:hint="eastAsia" w:ascii="仿宋" w:hAnsi="仿宋" w:eastAsia="仿宋" w:cs="仿宋"/>
                <w:b/>
                <w:bCs/>
                <w:sz w:val="28"/>
                <w:szCs w:val="28"/>
                <w:highlight w:val="none"/>
                <w:lang w:val="en-US" w:eastAsia="zh-CN"/>
              </w:rPr>
              <w:t xml:space="preserve">带“</w:t>
            </w:r>
            <w:r>
              <w:rPr>
                <w:rFonts w:hint="eastAsia" w:ascii="仿宋" w:hAnsi="仿宋" w:eastAsia="仿宋" w:cs="仿宋"/>
                <w:sz w:val="28"/>
                <w:szCs w:val="28"/>
                <w:highlight w:val="none"/>
              </w:rPr>
              <w:t xml:space="preserve">▲</w:t>
            </w:r>
            <w:r>
              <w:rPr>
                <w:rFonts w:hint="eastAsia" w:ascii="仿宋" w:hAnsi="仿宋" w:eastAsia="仿宋" w:cs="仿宋"/>
                <w:b/>
                <w:bCs/>
                <w:sz w:val="28"/>
                <w:szCs w:val="28"/>
                <w:highlight w:val="none"/>
                <w:lang w:val="en-US" w:eastAsia="zh-CN"/>
              </w:rPr>
              <w:t xml:space="preserve"> ”号技术指标部分供应商需承诺中标公示结束后 3 个工作日内提供项目采购需求中要求的证明材料原件的复印件并加盖原厂公章提交至甲方审查（承诺书格式自拟）。</w:t>
            </w:r>
            <w:r/>
          </w:p>
        </w:tc>
      </w:tr>
      <w:tr>
        <w:trPr>
          <w:jc w:val="center"/>
          <w:trHeight w:val="618"/>
        </w:trPr>
        <w:tc>
          <w:tcPr>
            <w:tcW w:w="1577" w:type="dxa"/>
            <w:vAlign w:val="center"/>
            <w:textDirection w:val="lrTb"/>
            <w:noWrap w:val="false"/>
          </w:tcPr>
          <w:p>
            <w:pPr>
              <w:jc w:val="center"/>
              <w:spacing w:after="0"/>
              <w:rPr>
                <w:rFonts w:hint="eastAsia" w:ascii="仿宋" w:hAnsi="仿宋" w:eastAsia="仿宋" w:cs="仿宋"/>
                <w:sz w:val="28"/>
                <w:szCs w:val="28"/>
              </w:rPr>
            </w:pPr>
            <w:r>
              <w:rPr>
                <w:rFonts w:hint="eastAsia" w:ascii="仿宋" w:hAnsi="仿宋" w:eastAsia="仿宋" w:cs="仿宋"/>
                <w:sz w:val="28"/>
                <w:szCs w:val="28"/>
              </w:rPr>
              <w:t xml:space="preserve">实施方案</w:t>
            </w:r>
            <w:r/>
          </w:p>
          <w:p>
            <w:pPr>
              <w:jc w:val="center"/>
              <w:spacing w:after="0"/>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分）</w:t>
            </w:r>
            <w:r/>
          </w:p>
        </w:tc>
        <w:tc>
          <w:tcPr>
            <w:tcW w:w="8913" w:type="dxa"/>
            <w:vAlign w:val="center"/>
            <w:textDirection w:val="lrTb"/>
            <w:noWrap w:val="false"/>
          </w:tcPr>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针对本项目提供的实施方案进行评审，方案内容至少包括：</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系统集成方案</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设备</w:t>
            </w:r>
            <w:r>
              <w:rPr>
                <w:rFonts w:hint="eastAsia" w:ascii="仿宋" w:hAnsi="仿宋" w:eastAsia="仿宋" w:cs="仿宋"/>
                <w:sz w:val="28"/>
                <w:szCs w:val="28"/>
                <w:highlight w:val="none"/>
              </w:rPr>
              <w:t xml:space="preserve">安装</w:t>
            </w:r>
            <w:r>
              <w:rPr>
                <w:rFonts w:hint="eastAsia" w:ascii="仿宋" w:hAnsi="仿宋" w:eastAsia="仿宋" w:cs="仿宋"/>
                <w:sz w:val="28"/>
                <w:szCs w:val="28"/>
                <w:highlight w:val="none"/>
                <w:lang w:val="en-US" w:eastAsia="zh-CN"/>
              </w:rPr>
              <w:t xml:space="preserve">调试</w:t>
            </w:r>
            <w:r>
              <w:rPr>
                <w:rFonts w:hint="eastAsia" w:ascii="仿宋" w:hAnsi="仿宋" w:eastAsia="仿宋" w:cs="仿宋"/>
                <w:sz w:val="28"/>
                <w:szCs w:val="28"/>
                <w:highlight w:val="none"/>
              </w:rPr>
              <w:t xml:space="preserve">方案、</w:t>
            </w:r>
            <w:r>
              <w:rPr>
                <w:rFonts w:hint="eastAsia" w:ascii="仿宋" w:hAnsi="仿宋" w:eastAsia="仿宋" w:cs="仿宋"/>
                <w:sz w:val="28"/>
                <w:szCs w:val="28"/>
                <w:highlight w:val="none"/>
                <w:lang w:val="en-US" w:eastAsia="zh-CN"/>
              </w:rPr>
              <w:t xml:space="preserve">验收</w:t>
            </w:r>
            <w:r>
              <w:rPr>
                <w:rFonts w:hint="eastAsia" w:ascii="仿宋" w:hAnsi="仿宋" w:eastAsia="仿宋" w:cs="仿宋"/>
                <w:sz w:val="28"/>
                <w:szCs w:val="28"/>
                <w:highlight w:val="none"/>
              </w:rPr>
              <w:t xml:space="preserve">方案</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试运行方案</w:t>
            </w:r>
            <w:r>
              <w:rPr>
                <w:rFonts w:hint="eastAsia" w:ascii="仿宋" w:hAnsi="仿宋" w:eastAsia="仿宋" w:cs="仿宋"/>
                <w:sz w:val="28"/>
                <w:szCs w:val="28"/>
                <w:highlight w:val="none"/>
              </w:rPr>
              <w:t xml:space="preserve">；对内容的全面性、针对性、可行性进行评价。</w:t>
            </w:r>
            <w:r/>
          </w:p>
          <w:p>
            <w:pPr>
              <w:jc w:val="both"/>
              <w:spacing w:after="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全面具体详实得3分；较全面得2分；不太全面得1分；</w:t>
            </w:r>
            <w:r/>
          </w:p>
          <w:p>
            <w:pPr>
              <w:jc w:val="both"/>
              <w:spacing w:after="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针对性强得3分；针对性一般的得2分，针对性欠缺的得1分；</w:t>
            </w:r>
            <w:r/>
          </w:p>
          <w:p>
            <w:pPr>
              <w:jc w:val="both"/>
              <w:spacing w:after="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符合实际切实可行得3分；较切实可行得2分；可行性欠缺得1分；</w:t>
            </w:r>
            <w:r/>
          </w:p>
          <w:p>
            <w:pPr>
              <w:jc w:val="both"/>
              <w:spacing w:after="0"/>
              <w:rPr>
                <w:rFonts w:eastAsia="仿宋"/>
                <w:highlight w:val="none"/>
              </w:rPr>
            </w:pPr>
            <w:r>
              <w:rPr>
                <w:rFonts w:hint="eastAsia" w:ascii="仿宋" w:hAnsi="仿宋" w:eastAsia="仿宋" w:cs="仿宋"/>
                <w:sz w:val="28"/>
                <w:szCs w:val="28"/>
                <w:highlight w:val="none"/>
                <w:lang w:val="en-US" w:eastAsia="zh-CN"/>
              </w:rPr>
              <w:t xml:space="preserve">未提供不得分。</w:t>
            </w:r>
            <w:r/>
          </w:p>
        </w:tc>
      </w:tr>
      <w:tr>
        <w:trPr>
          <w:jc w:val="center"/>
          <w:trHeight w:val="1284"/>
        </w:trPr>
        <w:tc>
          <w:tcPr>
            <w:tcW w:w="1577" w:type="dxa"/>
            <w:vAlign w:val="center"/>
            <w:textDirection w:val="lrTb"/>
            <w:noWrap w:val="false"/>
          </w:tcPr>
          <w:p>
            <w:pPr>
              <w:jc w:val="center"/>
              <w:spacing w:after="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技术服务方案</w:t>
            </w:r>
            <w:r/>
          </w:p>
          <w:p>
            <w:pPr>
              <w:jc w:val="center"/>
              <w:spacing w:after="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根据投标人针对本项目提供的技术服务方案，包括运行维护、数据审核、质控方案、应急方案，等内容进行综合评分： </w:t>
            </w:r>
            <w:r/>
          </w:p>
          <w:p>
            <w:pPr>
              <w:jc w:val="both"/>
              <w:spacing w:after="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技术服务方案科学合理，服务响应能力最强，运行维护、数据审核、质量保障等内容安排合理的，得8分；</w:t>
            </w:r>
            <w:r/>
          </w:p>
          <w:p>
            <w:pPr>
              <w:jc w:val="both"/>
              <w:spacing w:after="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技术服务方案部分合理，服务响应能力较强，运行维护、数据审核、质量保障等内容安排基本合理的，得6分；</w:t>
            </w:r>
            <w:r/>
          </w:p>
          <w:p>
            <w:pPr>
              <w:jc w:val="both"/>
              <w:spacing w:after="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技术服务方案部分一般，服务响应能力一般，运行维护、数据审核、质量保障等内容安排略有瑕疵的，得4分；</w:t>
            </w:r>
            <w:r/>
          </w:p>
          <w:p>
            <w:pPr>
              <w:jc w:val="both"/>
              <w:spacing w:after="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技术服务方案内容单一，服务响应能力滞后，运行维护、数据审核、质量保障等内容安排有待完善，得2分；</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未提供不得分。</w:t>
            </w:r>
            <w:r/>
          </w:p>
        </w:tc>
      </w:tr>
      <w:tr>
        <w:trPr>
          <w:jc w:val="center"/>
          <w:trHeight w:val="468"/>
        </w:trPr>
        <w:tc>
          <w:tcPr>
            <w:tcW w:w="1577" w:type="dxa"/>
            <w:vAlign w:val="center"/>
            <w:textDirection w:val="lrTb"/>
            <w:noWrap w:val="false"/>
          </w:tcPr>
          <w:p>
            <w:pPr>
              <w:jc w:val="center"/>
              <w:spacing w:after="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培训方案（7分）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根据投标人针对本项目提供的培训计划、培训方式、培训人员安排等内容进行综合评分：</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培训计划非常详细、全面，可操作性强，人员安排非常科学、合理，得7分；培训计划较详细、全面，可操作性较强，人员安排较科学、合理，得5分；培训计划一边，科学性、合理性和可操作性一般，得3分；培训计划阐述片面，科学性、合理性和可操作性较差，得1分；未提供不得分。</w:t>
            </w:r>
            <w:r/>
          </w:p>
        </w:tc>
      </w:tr>
      <w:tr>
        <w:trPr>
          <w:jc w:val="center"/>
          <w:trHeight w:val="468"/>
        </w:trPr>
        <w:tc>
          <w:tcPr>
            <w:tcW w:w="1577" w:type="dxa"/>
            <w:vAlign w:val="center"/>
            <w:textDirection w:val="lrTb"/>
            <w:noWrap w:val="false"/>
          </w:tcPr>
          <w:p>
            <w:pPr>
              <w:jc w:val="center"/>
              <w:spacing w:after="0"/>
              <w:rPr>
                <w:rFonts w:hint="eastAsia" w:ascii="仿宋" w:hAnsi="仿宋" w:eastAsia="仿宋" w:cs="仿宋"/>
                <w:sz w:val="28"/>
                <w:szCs w:val="28"/>
              </w:rPr>
            </w:pPr>
            <w:r>
              <w:rPr>
                <w:rFonts w:hint="eastAsia" w:ascii="仿宋" w:hAnsi="仿宋" w:eastAsia="仿宋" w:cs="仿宋"/>
                <w:sz w:val="28"/>
                <w:szCs w:val="28"/>
              </w:rPr>
              <w:t xml:space="preserve">售后服务方案</w:t>
            </w:r>
            <w:r/>
          </w:p>
          <w:p>
            <w:pPr>
              <w:jc w:val="center"/>
              <w:spacing w:after="0"/>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投标人针对本项目实际需求提供售后技术服务方案，内容包括但不限于售后服务方案、服务响应时间、软件升级及系统扩展方案等，主要依据现有售后网点的分布、人员的配置、服务承诺等方面。</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售后服务方案科学合理，服务响应能力强的得6分；</w:t>
            </w:r>
            <w:r/>
          </w:p>
          <w:p>
            <w:pPr>
              <w:jc w:val="both"/>
              <w:spacing w:after="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售后服务方案科学合理，服务响应能力较强的得4分；</w:t>
            </w:r>
            <w:r/>
          </w:p>
          <w:p>
            <w:pPr>
              <w:jc w:val="both"/>
              <w:spacing w:after="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售后服务方案部分合理，服务响应能力一般的得2分；</w:t>
            </w:r>
            <w:r/>
          </w:p>
          <w:p>
            <w:pPr>
              <w:jc w:val="both"/>
              <w:spacing w:after="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售后服务方案欠缺的，服务响应能力较差得</w:t>
            </w:r>
            <w:r>
              <w:rPr>
                <w:rFonts w:hint="default"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en-US" w:eastAsia="zh-CN"/>
              </w:rPr>
              <w:t xml:space="preserve">分；</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未提供不得分。</w:t>
            </w:r>
            <w:r/>
          </w:p>
        </w:tc>
      </w:tr>
      <w:tr>
        <w:trPr>
          <w:jc w:val="center"/>
          <w:trHeight w:val="1350"/>
        </w:trPr>
        <w:tc>
          <w:tcPr>
            <w:tcW w:w="1577" w:type="dxa"/>
            <w:vAlign w:val="center"/>
            <w:textDirection w:val="lrTb"/>
            <w:noWrap w:val="false"/>
          </w:tcPr>
          <w:p>
            <w:pPr>
              <w:jc w:val="center"/>
              <w:spacing w:after="0"/>
              <w:rPr>
                <w:rFonts w:hint="eastAsia" w:ascii="仿宋" w:hAnsi="仿宋" w:eastAsia="仿宋" w:cs="仿宋"/>
                <w:sz w:val="28"/>
                <w:szCs w:val="28"/>
              </w:rPr>
            </w:pPr>
            <w:r>
              <w:rPr>
                <w:rFonts w:hint="eastAsia" w:ascii="仿宋" w:hAnsi="仿宋" w:eastAsia="仿宋" w:cs="仿宋"/>
                <w:sz w:val="28"/>
                <w:szCs w:val="28"/>
                <w:lang w:val="en-US" w:eastAsia="zh-CN"/>
              </w:rPr>
              <w:t xml:space="preserve">项目人员配备</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w:t>
            </w:r>
            <w:r/>
          </w:p>
        </w:tc>
        <w:tc>
          <w:tcPr>
            <w:tcW w:w="8913" w:type="dxa"/>
            <w:vAlign w:val="center"/>
            <w:textDirection w:val="lrTb"/>
            <w:noWrap w:val="false"/>
          </w:tcPr>
          <w:p>
            <w:pPr>
              <w:jc w:val="both"/>
              <w:spacing w:after="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拟派本项目</w:t>
            </w:r>
            <w:r>
              <w:rPr>
                <w:rFonts w:hint="eastAsia" w:ascii="仿宋" w:hAnsi="仿宋" w:eastAsia="仿宋" w:cs="仿宋"/>
                <w:color w:val="000000"/>
                <w:sz w:val="28"/>
                <w:szCs w:val="28"/>
                <w:lang w:val="en-US" w:eastAsia="zh-CN"/>
              </w:rPr>
              <w:t xml:space="preserve">的人员中</w:t>
            </w:r>
            <w:r>
              <w:rPr>
                <w:rFonts w:hint="eastAsia" w:ascii="仿宋" w:hAnsi="仿宋" w:eastAsia="仿宋" w:cs="仿宋"/>
                <w:color w:val="000000"/>
                <w:sz w:val="28"/>
                <w:szCs w:val="28"/>
              </w:rPr>
              <w:t xml:space="preserve">具有</w:t>
            </w:r>
            <w:r>
              <w:rPr>
                <w:rFonts w:hint="eastAsia" w:ascii="仿宋" w:hAnsi="仿宋" w:eastAsia="仿宋" w:cs="仿宋"/>
                <w:color w:val="000000"/>
                <w:sz w:val="28"/>
                <w:szCs w:val="28"/>
                <w:lang w:val="en-US" w:eastAsia="zh-CN"/>
              </w:rPr>
              <w:t xml:space="preserve">高级环保设备工程师</w:t>
            </w:r>
            <w:r>
              <w:rPr>
                <w:rFonts w:hint="eastAsia" w:ascii="仿宋" w:hAnsi="仿宋" w:eastAsia="仿宋" w:cs="仿宋"/>
                <w:color w:val="000000"/>
                <w:sz w:val="28"/>
                <w:szCs w:val="28"/>
              </w:rPr>
              <w:t xml:space="preserve">职称</w:t>
            </w:r>
            <w:r>
              <w:rPr>
                <w:rFonts w:hint="eastAsia" w:ascii="仿宋" w:hAnsi="仿宋" w:eastAsia="仿宋" w:cs="仿宋"/>
                <w:color w:val="000000"/>
                <w:sz w:val="28"/>
                <w:szCs w:val="28"/>
                <w:lang w:val="en-US" w:eastAsia="zh-CN"/>
              </w:rPr>
              <w:t xml:space="preserve">的每有一个</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本项最高得2分，</w:t>
            </w:r>
            <w:r>
              <w:rPr>
                <w:rFonts w:hint="eastAsia" w:ascii="仿宋" w:hAnsi="仿宋" w:eastAsia="仿宋" w:cs="仿宋"/>
                <w:color w:val="000000"/>
                <w:sz w:val="28"/>
                <w:szCs w:val="28"/>
              </w:rPr>
              <w:t xml:space="preserve">不提供不得分。</w:t>
            </w:r>
            <w:r/>
          </w:p>
          <w:p>
            <w:pPr>
              <w:jc w:val="both"/>
              <w:spacing w:after="0"/>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注：需提供相关证书的原件扫描件和</w:t>
            </w:r>
            <w:r>
              <w:rPr>
                <w:rFonts w:hint="eastAsia" w:ascii="仿宋" w:hAnsi="仿宋" w:eastAsia="仿宋" w:cs="仿宋"/>
                <w:b/>
                <w:bCs/>
                <w:color w:val="000000"/>
                <w:sz w:val="28"/>
                <w:szCs w:val="28"/>
                <w:lang w:val="en-US" w:eastAsia="zh-CN"/>
              </w:rPr>
              <w:t xml:space="preserve">投标人</w:t>
            </w:r>
            <w:r>
              <w:rPr>
                <w:rFonts w:hint="eastAsia" w:ascii="仿宋" w:hAnsi="仿宋" w:eastAsia="仿宋" w:cs="仿宋"/>
                <w:b/>
                <w:bCs/>
                <w:color w:val="000000"/>
                <w:sz w:val="28"/>
                <w:szCs w:val="28"/>
              </w:rPr>
              <w:t xml:space="preserve">为以上人员缴纳社保的证明材料（开标前6个月内任意时间段内的社保缴纳证明）</w:t>
            </w:r>
            <w:r>
              <w:rPr>
                <w:rFonts w:hint="eastAsia" w:ascii="仿宋" w:hAnsi="仿宋" w:eastAsia="仿宋" w:cs="仿宋"/>
                <w:b/>
                <w:bCs/>
                <w:color w:val="000000"/>
                <w:sz w:val="28"/>
                <w:szCs w:val="28"/>
                <w:lang w:val="en-US" w:eastAsia="zh-CN"/>
              </w:rPr>
              <w:t xml:space="preserve">并</w:t>
            </w:r>
            <w:r>
              <w:rPr>
                <w:rFonts w:hint="eastAsia" w:ascii="仿宋" w:hAnsi="仿宋" w:eastAsia="仿宋" w:cs="仿宋"/>
                <w:b/>
                <w:bCs/>
                <w:color w:val="000000"/>
                <w:sz w:val="28"/>
                <w:szCs w:val="28"/>
              </w:rPr>
              <w:t xml:space="preserve">加盖电子签章，否则不得分。</w:t>
            </w:r>
            <w:r/>
          </w:p>
        </w:tc>
      </w:tr>
    </w:tbl>
    <w:p>
      <w:pP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本章说明：本项目采用综合评分法。</w:t>
      </w:r>
      <w:r/>
    </w:p>
    <w:p>
      <w:pPr>
        <w:jc w:val="center"/>
        <w:rPr>
          <w:rFonts w:hint="eastAsia" w:ascii="仿宋" w:hAnsi="仿宋" w:eastAsia="仿宋" w:cs="仿宋"/>
          <w:b/>
          <w:bCs/>
          <w:sz w:val="30"/>
          <w:szCs w:val="30"/>
        </w:rPr>
      </w:pPr>
      <w:r>
        <w:rPr>
          <w:rFonts w:hint="eastAsia" w:ascii="仿宋" w:hAnsi="仿宋" w:eastAsia="仿宋" w:cs="仿宋"/>
          <w:b/>
          <w:bCs/>
          <w:sz w:val="30"/>
          <w:szCs w:val="30"/>
        </w:rPr>
      </w:r>
      <w:r/>
    </w:p>
    <w:p>
      <w:pPr>
        <w:pStyle w:val="745"/>
        <w:sectPr>
          <w:footnotePr/>
          <w:endnotePr/>
          <w:type w:val="nextPage"/>
          <w:pgSz w:w="11906" w:h="16838" w:orient="portrait"/>
          <w:pgMar w:top="1440" w:right="1803" w:bottom="1440" w:left="1803" w:header="851" w:footer="992" w:gutter="0"/>
          <w:cols w:num="1" w:sep="0" w:space="0" w:equalWidth="1"/>
          <w:docGrid w:linePitch="360"/>
        </w:sectPr>
      </w:pPr>
      <w:r/>
      <w:r/>
    </w:p>
    <w:p>
      <w:pPr>
        <w:pStyle w:val="780"/>
        <w:ind w:firstLine="2409"/>
        <w:spacing w:before="0" w:beforeAutospacing="0" w:after="0" w:afterAutospacing="0" w:line="360" w:lineRule="auto"/>
        <w:rPr>
          <w:rFonts w:hint="eastAsia"/>
          <w:b/>
          <w:bCs/>
          <w:sz w:val="44"/>
          <w:szCs w:val="44"/>
          <w:u w:val="single"/>
        </w:rPr>
      </w:pPr>
      <w:r>
        <w:rPr>
          <w:rFonts w:hint="eastAsia" w:ascii="仿宋" w:hAnsi="仿宋" w:eastAsia="仿宋" w:cs="仿宋"/>
          <w:b/>
          <w:bCs/>
          <w:sz w:val="30"/>
          <w:szCs w:val="30"/>
        </w:rPr>
        <w:t xml:space="preserve">第五章 拟签订的合同文本</w:t>
      </w:r>
      <w:r/>
    </w:p>
    <w:p>
      <w:pPr>
        <w:jc w:val="center"/>
        <w:rPr>
          <w:rFonts w:hint="eastAsia" w:ascii="宋体" w:hAnsi="宋体" w:eastAsia="宋体" w:cs="宋体"/>
          <w:b/>
          <w:bCs/>
          <w:color w:val="auto"/>
          <w:sz w:val="84"/>
          <w:szCs w:val="84"/>
          <w:lang w:eastAsia="zh-CN"/>
        </w:rPr>
      </w:pPr>
      <w:r>
        <w:rPr>
          <w:rFonts w:hint="eastAsia" w:ascii="宋体" w:hAnsi="宋体" w:eastAsia="宋体" w:cs="宋体"/>
          <w:b/>
          <w:bCs/>
          <w:color w:val="auto"/>
          <w:sz w:val="84"/>
          <w:szCs w:val="84"/>
          <w:lang w:eastAsia="zh-CN"/>
        </w:rPr>
        <w:t xml:space="preserve">政</w:t>
      </w:r>
      <w:r/>
    </w:p>
    <w:p>
      <w:pPr>
        <w:jc w:val="center"/>
        <w:rPr>
          <w:rFonts w:hint="eastAsia" w:ascii="宋体" w:hAnsi="宋体" w:eastAsia="宋体" w:cs="宋体"/>
          <w:b/>
          <w:bCs/>
          <w:color w:val="auto"/>
          <w:sz w:val="84"/>
          <w:szCs w:val="84"/>
          <w:lang w:eastAsia="zh-CN"/>
        </w:rPr>
      </w:pPr>
      <w:r>
        <w:rPr>
          <w:rFonts w:hint="eastAsia" w:ascii="宋体" w:hAnsi="宋体" w:eastAsia="宋体" w:cs="宋体"/>
          <w:b/>
          <w:bCs/>
          <w:color w:val="auto"/>
          <w:sz w:val="84"/>
          <w:szCs w:val="84"/>
          <w:lang w:eastAsia="zh-CN"/>
        </w:rPr>
        <w:t xml:space="preserve">府</w:t>
      </w:r>
      <w:r/>
    </w:p>
    <w:p>
      <w:pPr>
        <w:jc w:val="center"/>
        <w:rPr>
          <w:rFonts w:hint="eastAsia" w:ascii="宋体" w:hAnsi="宋体" w:eastAsia="宋体" w:cs="宋体"/>
          <w:b/>
          <w:bCs/>
          <w:color w:val="auto"/>
          <w:sz w:val="84"/>
          <w:szCs w:val="84"/>
          <w:lang w:eastAsia="zh-CN"/>
        </w:rPr>
      </w:pPr>
      <w:r>
        <w:rPr>
          <w:rFonts w:hint="eastAsia" w:ascii="宋体" w:hAnsi="宋体" w:eastAsia="宋体" w:cs="宋体"/>
          <w:b/>
          <w:bCs/>
          <w:color w:val="auto"/>
          <w:sz w:val="84"/>
          <w:szCs w:val="84"/>
          <w:lang w:eastAsia="zh-CN"/>
        </w:rPr>
        <w:t xml:space="preserve">采</w:t>
      </w:r>
      <w:r/>
    </w:p>
    <w:p>
      <w:pPr>
        <w:jc w:val="center"/>
        <w:rPr>
          <w:rFonts w:hint="eastAsia" w:ascii="宋体" w:hAnsi="宋体" w:eastAsia="宋体" w:cs="宋体"/>
          <w:b/>
          <w:bCs/>
          <w:color w:val="auto"/>
          <w:sz w:val="84"/>
          <w:szCs w:val="84"/>
          <w:lang w:eastAsia="zh-CN"/>
        </w:rPr>
      </w:pPr>
      <w:r>
        <w:rPr>
          <w:rFonts w:hint="eastAsia" w:ascii="宋体" w:hAnsi="宋体" w:eastAsia="宋体" w:cs="宋体"/>
          <w:b/>
          <w:bCs/>
          <w:color w:val="auto"/>
          <w:sz w:val="84"/>
          <w:szCs w:val="84"/>
          <w:lang w:eastAsia="zh-CN"/>
        </w:rPr>
        <w:t xml:space="preserve">购</w:t>
      </w:r>
      <w:r/>
    </w:p>
    <w:p>
      <w:pPr>
        <w:jc w:val="center"/>
        <w:rPr>
          <w:rFonts w:hint="eastAsia" w:ascii="宋体" w:hAnsi="宋体" w:eastAsia="宋体" w:cs="宋体"/>
          <w:b/>
          <w:bCs/>
          <w:color w:val="auto"/>
          <w:sz w:val="84"/>
          <w:szCs w:val="84"/>
          <w:lang w:eastAsia="zh-CN"/>
        </w:rPr>
      </w:pPr>
      <w:r>
        <w:rPr>
          <w:rFonts w:hint="eastAsia" w:ascii="宋体" w:hAnsi="宋体" w:eastAsia="宋体" w:cs="宋体"/>
          <w:b/>
          <w:bCs/>
          <w:color w:val="auto"/>
          <w:sz w:val="84"/>
          <w:szCs w:val="84"/>
          <w:lang w:eastAsia="zh-CN"/>
        </w:rPr>
        <w:t xml:space="preserve">合</w:t>
      </w:r>
      <w:r/>
    </w:p>
    <w:p>
      <w:pPr>
        <w:jc w:val="center"/>
        <w:rPr>
          <w:rFonts w:hint="eastAsia" w:ascii="宋体" w:hAnsi="宋体" w:eastAsia="宋体" w:cs="宋体"/>
          <w:b/>
          <w:bCs/>
          <w:color w:val="auto"/>
          <w:sz w:val="84"/>
          <w:szCs w:val="84"/>
          <w:lang w:eastAsia="zh-CN"/>
        </w:rPr>
      </w:pPr>
      <w:r>
        <w:rPr>
          <w:rFonts w:hint="eastAsia" w:ascii="宋体" w:hAnsi="宋体" w:eastAsia="宋体" w:cs="宋体"/>
          <w:b/>
          <w:bCs/>
          <w:color w:val="auto"/>
          <w:sz w:val="84"/>
          <w:szCs w:val="84"/>
          <w:lang w:eastAsia="zh-CN"/>
        </w:rPr>
        <w:t xml:space="preserve">同</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561"/>
        <w:keepLines w:val="0"/>
        <w:keepNext w:val="0"/>
        <w:pageBreakBefore w:val="0"/>
        <w:spacing w:line="360" w:lineRule="auto"/>
        <w:widowControl w:val="off"/>
        <w:rPr>
          <w:rFonts w:hint="eastAsia"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r>
      <w:r/>
    </w:p>
    <w:p>
      <w:pPr>
        <w:ind w:firstLine="42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firstLine="561"/>
        <w:keepLines w:val="0"/>
        <w:keepNext w:val="0"/>
        <w:pageBreakBefore w:val="0"/>
        <w:spacing w:line="360" w:lineRule="auto"/>
        <w:widowControl w:val="off"/>
        <w:rPr>
          <w:rFonts w:hint="default"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 xml:space="preserve">项目编号：</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8"/>
          <w:szCs w:val="28"/>
          <w:u w:val="single"/>
          <w:lang w:val="en-US" w:eastAsia="zh-CN"/>
        </w:rPr>
        <w:t xml:space="preserve">                          </w:t>
      </w:r>
      <w:r>
        <w:rPr>
          <w:rFonts w:hint="eastAsia" w:ascii="Times New Roman" w:hAnsi="Times New Roman" w:eastAsia="宋体" w:cs="Times New Roman"/>
          <w:color w:val="auto"/>
          <w:sz w:val="24"/>
          <w:u w:val="single"/>
          <w:lang w:val="en-US" w:eastAsia="zh-CN"/>
        </w:rPr>
        <w:t xml:space="preserve">      </w:t>
      </w:r>
      <w:r/>
    </w:p>
    <w:p>
      <w:pPr>
        <w:ind w:firstLine="561"/>
        <w:keepLines w:val="0"/>
        <w:keepNext w:val="0"/>
        <w:pageBreakBefore w:val="0"/>
        <w:spacing w:line="360" w:lineRule="auto"/>
        <w:widowControl w:val="off"/>
        <w:rPr>
          <w:rFonts w:hint="default"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 xml:space="preserve">项目名称：</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8"/>
          <w:szCs w:val="28"/>
          <w:u w:val="single"/>
          <w:lang w:val="en-US" w:eastAsia="zh-CN"/>
        </w:rPr>
        <w:t xml:space="preserve">                          </w:t>
      </w:r>
      <w:r>
        <w:rPr>
          <w:rFonts w:hint="eastAsia" w:ascii="Times New Roman" w:hAnsi="Times New Roman" w:eastAsia="宋体" w:cs="Times New Roman"/>
          <w:color w:val="auto"/>
          <w:sz w:val="24"/>
          <w:u w:val="single"/>
          <w:lang w:val="en-US" w:eastAsia="zh-CN"/>
        </w:rPr>
        <w:t xml:space="preserve">      </w:t>
      </w:r>
      <w:r/>
    </w:p>
    <w:p>
      <w:pPr>
        <w:ind w:firstLine="561"/>
        <w:keepLines w:val="0"/>
        <w:keepNext w:val="0"/>
        <w:pageBreakBefore w:val="0"/>
        <w:spacing w:line="360" w:lineRule="auto"/>
        <w:widowControl w:val="off"/>
        <w:rPr>
          <w:rFonts w:hint="default"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 xml:space="preserve">甲方（采购单位）：</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8"/>
          <w:szCs w:val="28"/>
          <w:u w:val="single"/>
          <w:lang w:val="en-US" w:eastAsia="zh-CN"/>
        </w:rPr>
        <w:t xml:space="preserve">徐州市沛县生态环境局</w:t>
      </w:r>
      <w:r>
        <w:rPr>
          <w:rFonts w:hint="eastAsia" w:ascii="Times New Roman" w:hAnsi="Times New Roman" w:eastAsia="宋体" w:cs="Times New Roman"/>
          <w:color w:val="auto"/>
          <w:sz w:val="24"/>
          <w:u w:val="single"/>
          <w:lang w:val="en-US" w:eastAsia="zh-CN"/>
        </w:rPr>
        <w:t xml:space="preserve">      </w:t>
      </w:r>
      <w:r/>
    </w:p>
    <w:p>
      <w:pPr>
        <w:ind w:firstLine="561"/>
        <w:keepLines w:val="0"/>
        <w:keepNext w:val="0"/>
        <w:pageBreakBefore w:val="0"/>
        <w:spacing w:line="360" w:lineRule="auto"/>
        <w:widowControl w:val="off"/>
        <w:rPr>
          <w:rFonts w:hint="default"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 xml:space="preserve">乙方（中标单位）：</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8"/>
          <w:szCs w:val="28"/>
          <w:u w:val="single"/>
          <w:lang w:val="en-US" w:eastAsia="zh-CN"/>
        </w:rPr>
        <w:t xml:space="preserve">                        </w:t>
      </w:r>
      <w:r>
        <w:rPr>
          <w:rFonts w:hint="eastAsia" w:ascii="Times New Roman" w:hAnsi="Times New Roman" w:eastAsia="宋体" w:cs="Times New Roman"/>
          <w:color w:val="auto"/>
          <w:sz w:val="24"/>
          <w:u w:val="single"/>
          <w:lang w:val="en-US" w:eastAsia="zh-CN"/>
        </w:rPr>
        <w:t xml:space="preserve">   </w:t>
      </w:r>
      <w:r/>
    </w:p>
    <w:p>
      <w:pPr>
        <w:ind w:firstLine="560"/>
        <w:spacing w:line="360" w:lineRule="exact"/>
        <w:rPr>
          <w:rFonts w:hint="eastAsia" w:ascii="宋体" w:hAnsi="宋体" w:cs="宋体"/>
          <w:sz w:val="24"/>
        </w:rPr>
      </w:pPr>
      <w:r>
        <w:rPr>
          <w:rFonts w:hint="eastAsia" w:ascii="宋体" w:hAnsi="宋体" w:cs="宋体"/>
          <w:sz w:val="24"/>
        </w:rPr>
      </w:r>
      <w:r/>
    </w:p>
    <w:p>
      <w:pPr>
        <w:ind w:firstLine="560"/>
        <w:spacing w:line="360" w:lineRule="exact"/>
        <w:rPr>
          <w:rFonts w:hint="eastAsia" w:ascii="宋体" w:hAnsi="宋体" w:cs="宋体"/>
          <w:sz w:val="24"/>
        </w:rPr>
      </w:pPr>
      <w:r>
        <w:rPr>
          <w:rFonts w:hint="eastAsia" w:ascii="宋体" w:hAnsi="宋体" w:cs="宋体"/>
          <w:sz w:val="24"/>
        </w:rPr>
      </w:r>
      <w:r/>
    </w:p>
    <w:p>
      <w:pPr>
        <w:ind w:firstLine="560"/>
        <w:spacing w:line="360" w:lineRule="exact"/>
        <w:rPr>
          <w:rFonts w:hint="eastAsia" w:ascii="宋体" w:hAnsi="宋体" w:cs="宋体"/>
          <w:sz w:val="24"/>
        </w:rPr>
      </w:pPr>
      <w:r>
        <w:rPr>
          <w:rFonts w:hint="eastAsia" w:ascii="宋体" w:hAnsi="宋体" w:cs="宋体"/>
          <w:sz w:val="24"/>
        </w:rPr>
      </w:r>
      <w:r/>
    </w:p>
    <w:p>
      <w:pPr>
        <w:ind w:firstLine="560"/>
        <w:spacing w:line="360" w:lineRule="exact"/>
        <w:rPr>
          <w:rFonts w:hint="eastAsia"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4"/>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20"/>
        <w:jc w:val="center"/>
        <w:spacing w:line="520" w:lineRule="exact"/>
        <w:rPr>
          <w:rFonts w:hint="eastAsia" w:ascii="宋体" w:hAnsi="宋体" w:cs="宋体"/>
          <w:sz w:val="30"/>
          <w:szCs w:val="30"/>
        </w:rPr>
      </w:pPr>
      <w:r>
        <w:rPr>
          <w:rFonts w:hint="eastAsia" w:ascii="宋体" w:hAnsi="宋体" w:cs="宋体"/>
        </w:rPr>
        <w:br w:type="page" w:clear="all"/>
      </w:r>
      <w:r>
        <w:rPr>
          <w:rFonts w:hint="eastAsia" w:ascii="宋体" w:hAnsi="宋体" w:cs="宋体"/>
          <w:sz w:val="30"/>
          <w:szCs w:val="30"/>
        </w:rPr>
        <w:t xml:space="preserve">合同通用条款</w:t>
      </w:r>
      <w:r/>
    </w:p>
    <w:p>
      <w:pPr>
        <w:ind w:firstLine="600"/>
        <w:jc w:val="center"/>
        <w:spacing w:line="520" w:lineRule="exact"/>
        <w:rPr>
          <w:rFonts w:hint="eastAsia" w:ascii="宋体" w:hAnsi="宋体" w:cs="宋体"/>
          <w:sz w:val="30"/>
          <w:szCs w:val="30"/>
        </w:rPr>
      </w:pPr>
      <w:r>
        <w:rPr>
          <w:rFonts w:hint="eastAsia" w:ascii="宋体" w:hAnsi="宋体" w:cs="宋体"/>
          <w:sz w:val="30"/>
          <w:szCs w:val="30"/>
        </w:rPr>
      </w:r>
      <w:r/>
    </w:p>
    <w:p>
      <w:pPr>
        <w:ind w:firstLine="600"/>
        <w:jc w:val="center"/>
        <w:spacing w:line="520" w:lineRule="exact"/>
        <w:rPr>
          <w:rFonts w:hint="eastAsia" w:ascii="宋体" w:hAnsi="宋体" w:cs="宋体"/>
          <w:sz w:val="30"/>
          <w:szCs w:val="30"/>
        </w:rPr>
      </w:pPr>
      <w:r>
        <w:rPr>
          <w:rFonts w:hint="eastAsia" w:ascii="宋体" w:hAnsi="宋体" w:cs="宋体"/>
          <w:sz w:val="30"/>
          <w:szCs w:val="30"/>
        </w:rPr>
        <w:t xml:space="preserve">目录</w:t>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24"/>
        </w:rPr>
      </w:pPr>
      <w:r>
        <w:rPr>
          <w:rFonts w:hint="eastAsia" w:ascii="宋体" w:hAnsi="宋体" w:cs="宋体"/>
          <w:sz w:val="24"/>
        </w:rPr>
        <w:t xml:space="preserve">第一条    定义</w:t>
      </w:r>
      <w:r/>
    </w:p>
    <w:p>
      <w:pPr>
        <w:ind w:firstLine="600"/>
        <w:spacing w:line="520" w:lineRule="exact"/>
        <w:rPr>
          <w:rFonts w:hint="eastAsia" w:ascii="宋体" w:hAnsi="宋体" w:cs="宋体"/>
          <w:sz w:val="24"/>
        </w:rPr>
      </w:pPr>
      <w:r>
        <w:rPr>
          <w:rFonts w:hint="eastAsia" w:ascii="宋体" w:hAnsi="宋体" w:cs="宋体"/>
          <w:sz w:val="24"/>
        </w:rPr>
        <w:t xml:space="preserve">第二条    合同范围</w:t>
      </w:r>
      <w:r/>
    </w:p>
    <w:p>
      <w:pPr>
        <w:ind w:firstLine="600"/>
        <w:spacing w:line="520" w:lineRule="exact"/>
        <w:rPr>
          <w:rFonts w:hint="eastAsia" w:ascii="宋体" w:hAnsi="宋体" w:cs="宋体"/>
          <w:sz w:val="24"/>
        </w:rPr>
      </w:pPr>
      <w:r>
        <w:rPr>
          <w:rFonts w:hint="eastAsia" w:ascii="宋体" w:hAnsi="宋体" w:cs="宋体"/>
          <w:sz w:val="24"/>
        </w:rPr>
        <w:t xml:space="preserve">第三条    价格</w:t>
      </w:r>
      <w:r/>
    </w:p>
    <w:p>
      <w:pPr>
        <w:ind w:firstLine="600"/>
        <w:spacing w:line="520" w:lineRule="exact"/>
        <w:rPr>
          <w:rFonts w:hint="eastAsia" w:ascii="宋体" w:hAnsi="宋体" w:cs="宋体"/>
          <w:sz w:val="24"/>
        </w:rPr>
      </w:pPr>
      <w:r>
        <w:rPr>
          <w:rFonts w:hint="eastAsia" w:ascii="宋体" w:hAnsi="宋体" w:cs="宋体"/>
          <w:sz w:val="24"/>
        </w:rPr>
        <w:t xml:space="preserve">第四条    支付</w:t>
      </w:r>
      <w:r/>
    </w:p>
    <w:p>
      <w:pPr>
        <w:ind w:firstLine="600"/>
        <w:spacing w:line="520" w:lineRule="exact"/>
        <w:rPr>
          <w:rFonts w:hint="eastAsia" w:ascii="宋体" w:hAnsi="宋体" w:cs="宋体"/>
          <w:sz w:val="24"/>
        </w:rPr>
      </w:pPr>
      <w:r>
        <w:rPr>
          <w:rFonts w:hint="eastAsia" w:ascii="宋体" w:hAnsi="宋体" w:cs="宋体"/>
          <w:sz w:val="24"/>
        </w:rPr>
        <w:t xml:space="preserve">第五条    交货</w:t>
      </w:r>
      <w:r/>
    </w:p>
    <w:p>
      <w:pPr>
        <w:ind w:firstLine="600"/>
        <w:spacing w:line="520" w:lineRule="exact"/>
        <w:rPr>
          <w:rFonts w:hint="eastAsia" w:ascii="宋体" w:hAnsi="宋体" w:cs="宋体"/>
          <w:sz w:val="24"/>
        </w:rPr>
      </w:pPr>
      <w:r>
        <w:rPr>
          <w:rFonts w:hint="eastAsia" w:ascii="宋体" w:hAnsi="宋体" w:cs="宋体"/>
          <w:sz w:val="24"/>
        </w:rPr>
        <w:t xml:space="preserve">第六条    包装和标记</w:t>
      </w:r>
      <w:r/>
    </w:p>
    <w:p>
      <w:pPr>
        <w:ind w:firstLine="600"/>
        <w:spacing w:line="520" w:lineRule="exact"/>
        <w:rPr>
          <w:rFonts w:hint="eastAsia" w:ascii="宋体" w:hAnsi="宋体" w:cs="宋体"/>
          <w:sz w:val="24"/>
        </w:rPr>
      </w:pPr>
      <w:r>
        <w:rPr>
          <w:rFonts w:hint="eastAsia" w:ascii="宋体" w:hAnsi="宋体" w:cs="宋体"/>
          <w:sz w:val="24"/>
        </w:rPr>
        <w:t xml:space="preserve">第七条    技术资料</w:t>
      </w:r>
      <w:r/>
    </w:p>
    <w:p>
      <w:pPr>
        <w:ind w:firstLine="600"/>
        <w:spacing w:line="520" w:lineRule="exact"/>
        <w:rPr>
          <w:rFonts w:hint="eastAsia" w:ascii="宋体" w:hAnsi="宋体" w:cs="宋体"/>
          <w:sz w:val="24"/>
        </w:rPr>
      </w:pPr>
      <w:r>
        <w:rPr>
          <w:rFonts w:hint="eastAsia" w:ascii="宋体" w:hAnsi="宋体" w:cs="宋体"/>
          <w:sz w:val="24"/>
        </w:rPr>
        <w:t xml:space="preserve">第八条    安装</w:t>
      </w:r>
      <w:r/>
    </w:p>
    <w:p>
      <w:pPr>
        <w:ind w:firstLine="600"/>
        <w:spacing w:line="520" w:lineRule="exact"/>
        <w:rPr>
          <w:rFonts w:hint="eastAsia" w:ascii="宋体" w:hAnsi="宋体" w:cs="宋体"/>
          <w:sz w:val="24"/>
        </w:rPr>
      </w:pPr>
      <w:r>
        <w:rPr>
          <w:rFonts w:hint="eastAsia" w:ascii="宋体" w:hAnsi="宋体" w:cs="宋体"/>
          <w:sz w:val="24"/>
        </w:rPr>
        <w:t xml:space="preserve">第九条    验收</w:t>
      </w:r>
      <w:r/>
    </w:p>
    <w:p>
      <w:pPr>
        <w:ind w:firstLine="600"/>
        <w:spacing w:line="520" w:lineRule="exact"/>
        <w:rPr>
          <w:rFonts w:hint="eastAsia" w:ascii="宋体" w:hAnsi="宋体" w:cs="宋体"/>
          <w:sz w:val="24"/>
        </w:rPr>
      </w:pPr>
      <w:r>
        <w:rPr>
          <w:rFonts w:hint="eastAsia" w:ascii="宋体" w:hAnsi="宋体" w:cs="宋体"/>
          <w:sz w:val="24"/>
        </w:rPr>
        <w:t xml:space="preserve">第十条    售后服务和技术培训</w:t>
      </w:r>
      <w:r/>
    </w:p>
    <w:p>
      <w:pPr>
        <w:ind w:firstLine="600"/>
        <w:spacing w:line="520" w:lineRule="exact"/>
        <w:rPr>
          <w:rFonts w:hint="eastAsia" w:ascii="宋体" w:hAnsi="宋体" w:cs="宋体"/>
          <w:sz w:val="24"/>
        </w:rPr>
      </w:pPr>
      <w:r>
        <w:rPr>
          <w:rFonts w:hint="eastAsia" w:ascii="宋体" w:hAnsi="宋体" w:cs="宋体"/>
          <w:sz w:val="24"/>
        </w:rPr>
        <w:t xml:space="preserve">第十一条  索赔</w:t>
      </w:r>
      <w:r/>
    </w:p>
    <w:p>
      <w:pPr>
        <w:ind w:firstLine="600"/>
        <w:spacing w:line="520" w:lineRule="exact"/>
        <w:rPr>
          <w:rFonts w:hint="eastAsia" w:ascii="宋体" w:hAnsi="宋体" w:cs="宋体"/>
          <w:sz w:val="24"/>
        </w:rPr>
      </w:pPr>
      <w:r>
        <w:rPr>
          <w:rFonts w:hint="eastAsia" w:ascii="宋体" w:hAnsi="宋体" w:cs="宋体"/>
          <w:sz w:val="24"/>
        </w:rPr>
        <w:t xml:space="preserve">第十二条  不可抗力</w:t>
      </w:r>
      <w:r/>
    </w:p>
    <w:p>
      <w:pPr>
        <w:ind w:firstLine="600"/>
        <w:spacing w:line="520" w:lineRule="exact"/>
        <w:rPr>
          <w:rFonts w:hint="eastAsia" w:ascii="宋体" w:hAnsi="宋体" w:cs="宋体"/>
          <w:sz w:val="24"/>
        </w:rPr>
      </w:pPr>
      <w:r>
        <w:rPr>
          <w:rFonts w:hint="eastAsia" w:ascii="宋体" w:hAnsi="宋体" w:cs="宋体"/>
          <w:sz w:val="24"/>
        </w:rPr>
        <w:t xml:space="preserve">第十三条  合同的终止</w:t>
      </w:r>
      <w:r/>
    </w:p>
    <w:p>
      <w:pPr>
        <w:ind w:firstLine="600"/>
        <w:spacing w:line="520" w:lineRule="exact"/>
        <w:rPr>
          <w:rFonts w:hint="eastAsia" w:ascii="宋体" w:hAnsi="宋体" w:cs="宋体"/>
          <w:sz w:val="24"/>
        </w:rPr>
      </w:pPr>
      <w:r>
        <w:rPr>
          <w:rFonts w:hint="eastAsia" w:ascii="宋体" w:hAnsi="宋体" w:cs="宋体"/>
          <w:sz w:val="24"/>
        </w:rPr>
        <w:t xml:space="preserve">第十四条  争议的解决</w:t>
      </w:r>
      <w:r/>
    </w:p>
    <w:p>
      <w:pPr>
        <w:ind w:firstLine="600"/>
        <w:spacing w:line="520" w:lineRule="exact"/>
        <w:rPr>
          <w:rFonts w:hint="eastAsia" w:ascii="宋体" w:hAnsi="宋体" w:cs="宋体"/>
          <w:sz w:val="24"/>
        </w:rPr>
      </w:pPr>
      <w:r>
        <w:rPr>
          <w:rFonts w:hint="eastAsia" w:ascii="宋体" w:hAnsi="宋体" w:cs="宋体"/>
          <w:sz w:val="24"/>
        </w:rPr>
        <w:t xml:space="preserve">第十五条  适用法律</w:t>
      </w:r>
      <w:r/>
    </w:p>
    <w:p>
      <w:pPr>
        <w:ind w:firstLine="600"/>
        <w:spacing w:line="520" w:lineRule="exact"/>
        <w:rPr>
          <w:rFonts w:hint="eastAsia" w:ascii="宋体" w:hAnsi="宋体" w:cs="宋体"/>
          <w:sz w:val="24"/>
        </w:rPr>
      </w:pPr>
      <w:r>
        <w:rPr>
          <w:rFonts w:hint="eastAsia" w:ascii="宋体" w:hAnsi="宋体" w:cs="宋体"/>
          <w:sz w:val="24"/>
        </w:rPr>
        <w:t xml:space="preserve">第十六条  权利保证</w:t>
      </w:r>
      <w:r/>
    </w:p>
    <w:p>
      <w:pPr>
        <w:ind w:firstLine="600"/>
        <w:spacing w:line="520" w:lineRule="exact"/>
        <w:rPr>
          <w:rFonts w:hint="eastAsia" w:ascii="宋体" w:hAnsi="宋体" w:cs="宋体"/>
          <w:sz w:val="24"/>
        </w:rPr>
      </w:pPr>
      <w:r>
        <w:rPr>
          <w:rFonts w:hint="eastAsia" w:ascii="宋体" w:hAnsi="宋体" w:cs="宋体"/>
          <w:sz w:val="24"/>
        </w:rPr>
        <w:t xml:space="preserve">第十七条  保密</w:t>
      </w:r>
      <w:r/>
    </w:p>
    <w:p>
      <w:pPr>
        <w:ind w:firstLine="600"/>
        <w:spacing w:line="520" w:lineRule="exact"/>
        <w:rPr>
          <w:rFonts w:hint="eastAsia" w:ascii="宋体" w:hAnsi="宋体" w:cs="宋体"/>
          <w:sz w:val="24"/>
        </w:rPr>
      </w:pPr>
      <w:r>
        <w:rPr>
          <w:rFonts w:hint="eastAsia" w:ascii="宋体" w:hAnsi="宋体" w:cs="宋体"/>
          <w:sz w:val="24"/>
        </w:rPr>
        <w:t xml:space="preserve">第十八条  合同生效及其他</w:t>
      </w:r>
      <w:r/>
    </w:p>
    <w:p>
      <w:pPr>
        <w:spacing w:line="520" w:lineRule="exact"/>
        <w:rPr>
          <w:rFonts w:hint="eastAsia" w:ascii="宋体" w:hAnsi="宋体" w:cs="宋体"/>
          <w:sz w:val="30"/>
          <w:szCs w:val="30"/>
        </w:rPr>
      </w:pPr>
      <w:r>
        <w:rPr>
          <w:rFonts w:hint="eastAsia" w:ascii="宋体" w:hAnsi="宋体" w:cs="宋体"/>
          <w:sz w:val="30"/>
          <w:szCs w:val="30"/>
        </w:rPr>
      </w:r>
      <w:r/>
    </w:p>
    <w:p>
      <w:pPr>
        <w:ind w:firstLine="600"/>
        <w:jc w:val="center"/>
        <w:spacing w:line="52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合同通用条款</w:t>
      </w:r>
      <w:r/>
    </w:p>
    <w:p>
      <w:pPr>
        <w:ind w:firstLine="600"/>
        <w:spacing w:line="520" w:lineRule="exact"/>
        <w:rPr>
          <w:rFonts w:hint="eastAsia" w:ascii="宋体" w:hAnsi="宋体" w:cs="宋体"/>
          <w:sz w:val="24"/>
        </w:rPr>
      </w:pPr>
      <w:r>
        <w:rPr>
          <w:rFonts w:hint="eastAsia" w:ascii="宋体" w:hAnsi="宋体" w:cs="宋体"/>
          <w:sz w:val="24"/>
        </w:rPr>
        <w:t xml:space="preserve">第一条  定义</w:t>
      </w:r>
      <w:r/>
    </w:p>
    <w:p>
      <w:pPr>
        <w:ind w:firstLine="600"/>
        <w:spacing w:line="520" w:lineRule="exact"/>
        <w:rPr>
          <w:rFonts w:hint="eastAsia" w:ascii="宋体" w:hAnsi="宋体" w:cs="宋体"/>
          <w:sz w:val="24"/>
        </w:rPr>
      </w:pPr>
      <w:r>
        <w:rPr>
          <w:rFonts w:hint="eastAsia" w:ascii="宋体" w:hAnsi="宋体" w:cs="宋体"/>
          <w:sz w:val="24"/>
        </w:rPr>
        <w:t xml:space="preserve">除本合同上下文中另有规定外，下列各词语定义如下： </w:t>
      </w:r>
      <w:r/>
    </w:p>
    <w:p>
      <w:pPr>
        <w:ind w:firstLine="600"/>
        <w:spacing w:line="520" w:lineRule="exact"/>
        <w:rPr>
          <w:rFonts w:hint="eastAsia" w:ascii="宋体" w:hAnsi="宋体" w:cs="宋体"/>
          <w:sz w:val="24"/>
        </w:rPr>
      </w:pPr>
      <w:r>
        <w:rPr>
          <w:rFonts w:hint="eastAsia" w:ascii="宋体" w:hAnsi="宋体" w:cs="宋体"/>
          <w:sz w:val="24"/>
        </w:rPr>
        <w:t xml:space="preserve">1.1“买方”见《合同专用条款》。</w:t>
      </w:r>
      <w:r/>
    </w:p>
    <w:p>
      <w:pPr>
        <w:ind w:firstLine="600"/>
        <w:spacing w:line="520" w:lineRule="exact"/>
        <w:rPr>
          <w:rFonts w:hint="eastAsia" w:ascii="宋体" w:hAnsi="宋体" w:cs="宋体"/>
          <w:sz w:val="24"/>
        </w:rPr>
      </w:pPr>
      <w:r>
        <w:rPr>
          <w:rFonts w:hint="eastAsia" w:ascii="宋体" w:hAnsi="宋体" w:cs="宋体"/>
          <w:sz w:val="24"/>
        </w:rPr>
        <w:t xml:space="preserve">1.2“卖方”见《合同专用条款》。</w:t>
      </w:r>
      <w:r/>
    </w:p>
    <w:p>
      <w:pPr>
        <w:ind w:firstLine="600"/>
        <w:spacing w:line="520" w:lineRule="exact"/>
        <w:rPr>
          <w:rFonts w:hint="eastAsia" w:ascii="宋体" w:hAnsi="宋体" w:cs="宋体"/>
          <w:sz w:val="24"/>
        </w:rPr>
      </w:pPr>
      <w:r>
        <w:rPr>
          <w:rFonts w:hint="eastAsia" w:ascii="宋体" w:hAnsi="宋体" w:cs="宋体"/>
          <w:sz w:val="24"/>
        </w:rPr>
        <w:t xml:space="preserve">1.3“工作现场”见《合同专用条款》。</w:t>
      </w:r>
      <w:r/>
    </w:p>
    <w:p>
      <w:pPr>
        <w:ind w:firstLine="600"/>
        <w:spacing w:line="520" w:lineRule="exact"/>
        <w:rPr>
          <w:rFonts w:hint="eastAsia" w:ascii="宋体" w:hAnsi="宋体" w:cs="宋体"/>
          <w:sz w:val="24"/>
        </w:rPr>
      </w:pPr>
      <w:r>
        <w:rPr>
          <w:rFonts w:hint="eastAsia" w:ascii="宋体" w:hAnsi="宋体" w:cs="宋体"/>
          <w:sz w:val="24"/>
        </w:rPr>
        <w:t xml:space="preserve">1.4“合同标的”见合同附件4。</w:t>
      </w:r>
      <w:r/>
    </w:p>
    <w:p>
      <w:pPr>
        <w:ind w:firstLine="600"/>
        <w:spacing w:line="520" w:lineRule="exact"/>
        <w:rPr>
          <w:rFonts w:hint="eastAsia" w:ascii="宋体" w:hAnsi="宋体" w:cs="宋体"/>
          <w:sz w:val="24"/>
        </w:rPr>
      </w:pPr>
      <w:r>
        <w:rPr>
          <w:rFonts w:hint="eastAsia" w:ascii="宋体" w:hAnsi="宋体" w:cs="宋体"/>
          <w:sz w:val="24"/>
        </w:rPr>
        <w:t xml:space="preserve">1.5“技术资料”是指与合同标的的安装、试运行、验收、操作以及维修有关的技术指标、规格、图纸和文件。</w:t>
      </w:r>
      <w:r/>
    </w:p>
    <w:p>
      <w:pPr>
        <w:ind w:firstLine="600"/>
        <w:spacing w:line="520" w:lineRule="exact"/>
        <w:rPr>
          <w:rFonts w:hint="eastAsia" w:ascii="宋体" w:hAnsi="宋体" w:cs="宋体"/>
          <w:sz w:val="24"/>
        </w:rPr>
      </w:pPr>
      <w:r>
        <w:rPr>
          <w:rFonts w:hint="eastAsia" w:ascii="宋体" w:hAnsi="宋体" w:cs="宋体"/>
          <w:sz w:val="24"/>
        </w:rPr>
        <w:t xml:space="preserve">1.6“技术培训”是指在合同标的的安装、试运行、验收、操作、维修以及其他方面卖方给予买方的培训。</w:t>
      </w:r>
      <w:r/>
    </w:p>
    <w:p>
      <w:pPr>
        <w:ind w:firstLine="600"/>
        <w:spacing w:line="520" w:lineRule="exact"/>
        <w:rPr>
          <w:rFonts w:hint="eastAsia" w:ascii="宋体" w:hAnsi="宋体" w:cs="宋体"/>
          <w:sz w:val="24"/>
        </w:rPr>
      </w:pPr>
      <w:r>
        <w:rPr>
          <w:rFonts w:hint="eastAsia" w:ascii="宋体" w:hAnsi="宋体" w:cs="宋体"/>
          <w:sz w:val="24"/>
        </w:rPr>
        <w:t xml:space="preserve">1.7“安装”是指有关合同标的、备件和材料的安装工作。</w:t>
      </w:r>
      <w:r/>
    </w:p>
    <w:p>
      <w:pPr>
        <w:ind w:firstLine="600"/>
        <w:spacing w:line="520" w:lineRule="exact"/>
        <w:rPr>
          <w:rFonts w:hint="eastAsia" w:ascii="宋体" w:hAnsi="宋体" w:cs="宋体"/>
          <w:sz w:val="24"/>
        </w:rPr>
      </w:pPr>
      <w:r>
        <w:rPr>
          <w:rFonts w:hint="eastAsia" w:ascii="宋体" w:hAnsi="宋体" w:cs="宋体"/>
          <w:sz w:val="24"/>
        </w:rPr>
        <w:t xml:space="preserve">1.8“试运行”是指为验明合同标的的技术性能，在安装完毕后对合同标的进行的测试。</w:t>
      </w:r>
      <w:r/>
    </w:p>
    <w:p>
      <w:pPr>
        <w:ind w:firstLine="600"/>
        <w:spacing w:line="520" w:lineRule="exact"/>
        <w:rPr>
          <w:rFonts w:hint="eastAsia" w:ascii="宋体" w:hAnsi="宋体" w:cs="宋体"/>
          <w:sz w:val="24"/>
        </w:rPr>
      </w:pPr>
      <w:r>
        <w:rPr>
          <w:rFonts w:hint="eastAsia" w:ascii="宋体" w:hAnsi="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spacing w:line="520" w:lineRule="exact"/>
        <w:rPr>
          <w:rFonts w:hint="eastAsia" w:ascii="宋体" w:hAnsi="宋体" w:cs="宋体"/>
          <w:sz w:val="24"/>
        </w:rPr>
      </w:pPr>
      <w:r>
        <w:rPr>
          <w:rFonts w:hint="eastAsia" w:ascii="宋体" w:hAnsi="宋体" w:cs="宋体"/>
          <w:sz w:val="24"/>
        </w:rPr>
        <w:t xml:space="preserve">1.10“合同货币”见《合同专用条款》。</w:t>
      </w:r>
      <w:r/>
    </w:p>
    <w:p>
      <w:pPr>
        <w:ind w:firstLine="600"/>
        <w:spacing w:line="520" w:lineRule="exact"/>
        <w:rPr>
          <w:rFonts w:hint="eastAsia" w:ascii="宋体" w:hAnsi="宋体" w:cs="宋体"/>
          <w:sz w:val="24"/>
        </w:rPr>
      </w:pPr>
      <w:r>
        <w:rPr>
          <w:rFonts w:hint="eastAsia" w:ascii="宋体" w:hAnsi="宋体" w:cs="宋体"/>
          <w:sz w:val="24"/>
        </w:rPr>
        <w:t xml:space="preserve">1.11“合同价格”见合同附件4。</w:t>
      </w:r>
      <w:r/>
    </w:p>
    <w:p>
      <w:pPr>
        <w:ind w:firstLine="600"/>
        <w:spacing w:line="520" w:lineRule="exact"/>
        <w:rPr>
          <w:rFonts w:hint="eastAsia" w:ascii="宋体" w:hAnsi="宋体" w:cs="宋体"/>
          <w:sz w:val="24"/>
        </w:rPr>
      </w:pPr>
      <w:r>
        <w:rPr>
          <w:rFonts w:hint="eastAsia" w:ascii="宋体" w:hAnsi="宋体" w:cs="宋体"/>
          <w:sz w:val="24"/>
        </w:rPr>
        <w:t xml:space="preserve">1.12“合同生效日”见《合同协议书》（合同附件1）第5 条。</w:t>
      </w:r>
      <w:r/>
    </w:p>
    <w:p>
      <w:pPr>
        <w:ind w:firstLine="600"/>
        <w:spacing w:line="520" w:lineRule="exact"/>
        <w:rPr>
          <w:rFonts w:hint="eastAsia" w:ascii="宋体" w:hAnsi="宋体" w:cs="宋体"/>
          <w:sz w:val="24"/>
        </w:rPr>
      </w:pPr>
      <w:r>
        <w:rPr>
          <w:rFonts w:hint="eastAsia" w:ascii="宋体" w:hAnsi="宋体" w:cs="宋体"/>
          <w:sz w:val="24"/>
        </w:rPr>
        <w:t xml:space="preserve">1.13“日”是指日历天数。</w:t>
      </w:r>
      <w:r/>
    </w:p>
    <w:p>
      <w:pPr>
        <w:ind w:firstLine="600"/>
        <w:spacing w:line="520" w:lineRule="exact"/>
        <w:rPr>
          <w:rFonts w:hint="eastAsia" w:ascii="宋体" w:hAnsi="宋体" w:cs="宋体"/>
          <w:sz w:val="24"/>
        </w:rPr>
      </w:pPr>
      <w:r>
        <w:rPr>
          <w:rFonts w:hint="eastAsia" w:ascii="宋体" w:hAnsi="宋体" w:cs="宋体"/>
          <w:sz w:val="24"/>
        </w:rPr>
        <w:t xml:space="preserve">1.14“月”是指日历月数。</w:t>
      </w:r>
      <w:r/>
    </w:p>
    <w:p>
      <w:pPr>
        <w:ind w:firstLine="600"/>
        <w:spacing w:line="520" w:lineRule="exact"/>
        <w:rPr>
          <w:rFonts w:hint="eastAsia" w:ascii="宋体" w:hAnsi="宋体" w:cs="宋体"/>
          <w:sz w:val="24"/>
        </w:rPr>
      </w:pPr>
      <w:r>
        <w:rPr>
          <w:rFonts w:hint="eastAsia" w:ascii="宋体" w:hAnsi="宋体" w:cs="宋体"/>
          <w:sz w:val="24"/>
        </w:rPr>
        <w:t xml:space="preserve">第二条 合同范围</w:t>
      </w:r>
      <w:r/>
    </w:p>
    <w:p>
      <w:pPr>
        <w:ind w:firstLine="600"/>
        <w:spacing w:line="520" w:lineRule="exact"/>
        <w:rPr>
          <w:rFonts w:hint="eastAsia" w:ascii="宋体" w:hAnsi="宋体" w:cs="宋体"/>
          <w:sz w:val="24"/>
        </w:rPr>
      </w:pPr>
      <w:r>
        <w:rPr>
          <w:rFonts w:hint="eastAsia" w:ascii="宋体" w:hAnsi="宋体" w:cs="宋体"/>
          <w:sz w:val="24"/>
        </w:rPr>
        <w:t xml:space="preserve">2.1买方同意从卖方购买、卖方同意向买方出售和提供的合同标的以及相关售后服务、技术培训和技术资料。</w:t>
      </w:r>
      <w:r/>
    </w:p>
    <w:p>
      <w:pPr>
        <w:ind w:firstLine="600"/>
        <w:spacing w:line="520" w:lineRule="exact"/>
        <w:rPr>
          <w:rFonts w:hint="eastAsia" w:ascii="宋体" w:hAnsi="宋体" w:cs="宋体"/>
          <w:sz w:val="24"/>
        </w:rPr>
      </w:pPr>
      <w:r>
        <w:rPr>
          <w:rFonts w:hint="eastAsia" w:ascii="宋体" w:hAnsi="宋体" w:cs="宋体"/>
          <w:sz w:val="24"/>
        </w:rPr>
        <w:t xml:space="preserve">第三条 价格</w:t>
      </w:r>
      <w:r/>
    </w:p>
    <w:p>
      <w:pPr>
        <w:ind w:firstLine="600"/>
        <w:spacing w:line="520" w:lineRule="exact"/>
        <w:rPr>
          <w:rFonts w:hint="eastAsia" w:ascii="宋体" w:hAnsi="宋体" w:cs="宋体"/>
          <w:sz w:val="24"/>
        </w:rPr>
      </w:pPr>
      <w:r>
        <w:rPr>
          <w:rFonts w:hint="eastAsia" w:ascii="宋体" w:hAnsi="宋体" w:cs="宋体"/>
          <w:sz w:val="24"/>
        </w:rPr>
        <w:t xml:space="preserve">3.1 合同总价见《合同专用条款》。</w:t>
      </w:r>
      <w:r/>
    </w:p>
    <w:p>
      <w:pPr>
        <w:ind w:firstLine="600"/>
        <w:spacing w:line="520" w:lineRule="exact"/>
        <w:rPr>
          <w:rFonts w:hint="eastAsia" w:ascii="宋体" w:hAnsi="宋体" w:cs="宋体"/>
          <w:sz w:val="24"/>
        </w:rPr>
      </w:pPr>
      <w:r>
        <w:rPr>
          <w:rFonts w:hint="eastAsia" w:ascii="宋体" w:hAnsi="宋体" w:cs="宋体"/>
          <w:sz w:val="24"/>
        </w:rPr>
        <w:t xml:space="preserve">3.2 合同总价是固定价格。</w:t>
      </w:r>
      <w:r/>
    </w:p>
    <w:p>
      <w:pPr>
        <w:ind w:firstLine="600"/>
        <w:spacing w:line="520" w:lineRule="exact"/>
        <w:rPr>
          <w:rFonts w:hint="eastAsia" w:ascii="宋体" w:hAnsi="宋体" w:cs="宋体"/>
          <w:sz w:val="24"/>
        </w:rPr>
      </w:pPr>
      <w:r>
        <w:rPr>
          <w:rFonts w:hint="eastAsia" w:ascii="宋体" w:hAnsi="宋体" w:cs="宋体"/>
          <w:sz w:val="24"/>
        </w:rPr>
        <w:t xml:space="preserve">第四条 支付</w:t>
      </w:r>
      <w:r/>
    </w:p>
    <w:p>
      <w:pPr>
        <w:ind w:firstLine="600"/>
        <w:spacing w:line="520" w:lineRule="exact"/>
        <w:rPr>
          <w:rFonts w:hint="eastAsia" w:ascii="宋体" w:hAnsi="宋体" w:cs="宋体"/>
          <w:sz w:val="24"/>
        </w:rPr>
      </w:pPr>
      <w:r>
        <w:rPr>
          <w:rFonts w:hint="eastAsia" w:ascii="宋体" w:hAnsi="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600"/>
        <w:spacing w:line="520" w:lineRule="exact"/>
        <w:rPr>
          <w:rFonts w:hint="eastAsia" w:ascii="宋体" w:hAnsi="宋体" w:cs="宋体"/>
          <w:sz w:val="24"/>
        </w:rPr>
      </w:pPr>
      <w:r>
        <w:rPr>
          <w:rFonts w:hint="eastAsia" w:ascii="宋体" w:hAnsi="宋体" w:cs="宋体"/>
          <w:sz w:val="24"/>
        </w:rPr>
        <w:t xml:space="preserve">4.2卖方有义务根据合同的规定向买方支付违约金和/或赔偿金时，买方有权从任何一笔应付款或卖方的履约保证金中予以扣除。</w:t>
      </w:r>
      <w:r/>
    </w:p>
    <w:p>
      <w:pPr>
        <w:ind w:firstLine="600"/>
        <w:spacing w:line="520" w:lineRule="exact"/>
        <w:rPr>
          <w:rFonts w:hint="eastAsia" w:ascii="宋体" w:hAnsi="宋体" w:cs="宋体"/>
          <w:sz w:val="24"/>
        </w:rPr>
      </w:pPr>
      <w:r>
        <w:rPr>
          <w:rFonts w:hint="eastAsia" w:ascii="宋体" w:hAnsi="宋体" w:cs="宋体"/>
          <w:sz w:val="24"/>
        </w:rPr>
        <w:t xml:space="preserve">第五条 交货</w:t>
      </w:r>
      <w:r/>
    </w:p>
    <w:p>
      <w:pPr>
        <w:ind w:firstLine="600"/>
        <w:spacing w:line="520" w:lineRule="exact"/>
        <w:rPr>
          <w:rFonts w:hint="eastAsia" w:ascii="宋体" w:hAnsi="宋体" w:cs="宋体"/>
          <w:sz w:val="24"/>
        </w:rPr>
      </w:pPr>
      <w:r>
        <w:rPr>
          <w:rFonts w:hint="eastAsia" w:ascii="宋体" w:hAnsi="宋体" w:cs="宋体"/>
          <w:sz w:val="24"/>
        </w:rPr>
        <w:t xml:space="preserve">5.1交货期限、批次和交货条件见《合同专用条款》。</w:t>
      </w:r>
      <w:r/>
    </w:p>
    <w:p>
      <w:pPr>
        <w:ind w:firstLine="600"/>
        <w:spacing w:line="520" w:lineRule="exact"/>
        <w:rPr>
          <w:rFonts w:hint="eastAsia" w:ascii="宋体" w:hAnsi="宋体" w:cs="宋体"/>
          <w:sz w:val="24"/>
        </w:rPr>
      </w:pPr>
      <w:r>
        <w:rPr>
          <w:rFonts w:hint="eastAsia" w:ascii="宋体" w:hAnsi="宋体" w:cs="宋体"/>
          <w:sz w:val="24"/>
        </w:rPr>
        <w:t xml:space="preserve">5.2交货地点见《合同专用条款》。</w:t>
      </w:r>
      <w:r/>
    </w:p>
    <w:p>
      <w:pPr>
        <w:ind w:firstLine="600"/>
        <w:spacing w:line="520" w:lineRule="exact"/>
        <w:rPr>
          <w:rFonts w:hint="eastAsia" w:ascii="宋体" w:hAnsi="宋体" w:cs="宋体"/>
          <w:sz w:val="24"/>
        </w:rPr>
      </w:pPr>
      <w:r>
        <w:rPr>
          <w:rFonts w:hint="eastAsia" w:ascii="宋体" w:hAnsi="宋体" w:cs="宋体"/>
          <w:sz w:val="24"/>
        </w:rPr>
        <w:t xml:space="preserve">5.3在《合同专用条款》规定的期限内，卖方应将合同号、合同标的的名称、数量、金额、包装件数以及交货的时间以书面方式通知买方。</w:t>
      </w:r>
      <w:r/>
    </w:p>
    <w:p>
      <w:pPr>
        <w:ind w:firstLine="600"/>
        <w:spacing w:line="520" w:lineRule="exact"/>
        <w:rPr>
          <w:rFonts w:hint="eastAsia" w:ascii="宋体" w:hAnsi="宋体" w:cs="宋体"/>
          <w:sz w:val="24"/>
        </w:rPr>
      </w:pPr>
      <w:r>
        <w:rPr>
          <w:rFonts w:hint="eastAsia" w:ascii="宋体" w:hAnsi="宋体" w:cs="宋体"/>
          <w:sz w:val="24"/>
        </w:rPr>
        <w:t xml:space="preserve">5.4卖方应按下列规定交付合同标的：</w:t>
      </w:r>
      <w:r/>
    </w:p>
    <w:p>
      <w:pPr>
        <w:ind w:firstLine="600"/>
        <w:spacing w:line="520" w:lineRule="exact"/>
        <w:rPr>
          <w:rFonts w:hint="eastAsia" w:ascii="宋体" w:hAnsi="宋体" w:cs="宋体"/>
          <w:sz w:val="24"/>
        </w:rPr>
      </w:pPr>
      <w:r>
        <w:rPr>
          <w:rFonts w:hint="eastAsia" w:ascii="宋体" w:hAnsi="宋体" w:cs="宋体"/>
          <w:sz w:val="24"/>
        </w:rPr>
        <w:t xml:space="preserve">5.4.1卖方负责将合同标的送至《合同专用条款》规定的交货地点。</w:t>
      </w:r>
      <w:r/>
    </w:p>
    <w:p>
      <w:pPr>
        <w:ind w:firstLine="600"/>
        <w:spacing w:line="520" w:lineRule="exact"/>
        <w:rPr>
          <w:rFonts w:hint="eastAsia" w:ascii="宋体" w:hAnsi="宋体" w:cs="宋体"/>
          <w:sz w:val="24"/>
        </w:rPr>
      </w:pPr>
      <w:r>
        <w:rPr>
          <w:rFonts w:hint="eastAsia" w:ascii="宋体" w:hAnsi="宋体" w:cs="宋体"/>
          <w:sz w:val="24"/>
        </w:rPr>
        <w:t xml:space="preserve">5.4.2买方出具的收据日期是合同标的的实际交货日期。</w:t>
      </w:r>
      <w:r/>
    </w:p>
    <w:p>
      <w:pPr>
        <w:ind w:firstLine="600"/>
        <w:spacing w:line="520" w:lineRule="exact"/>
        <w:rPr>
          <w:rFonts w:hint="eastAsia" w:ascii="宋体" w:hAnsi="宋体" w:cs="宋体"/>
          <w:sz w:val="24"/>
        </w:rPr>
      </w:pPr>
      <w:r>
        <w:rPr>
          <w:rFonts w:hint="eastAsia" w:ascii="宋体" w:hAnsi="宋体" w:cs="宋体"/>
          <w:sz w:val="24"/>
        </w:rPr>
        <w:t xml:space="preserve">5.5如果卖方未能按照合同规定的交货期限交货，卖方应按《合同专用条款》的规定支付违约金或提供其他救济。</w:t>
      </w:r>
      <w:r/>
    </w:p>
    <w:p>
      <w:pPr>
        <w:ind w:firstLine="600"/>
        <w:spacing w:line="520" w:lineRule="exact"/>
        <w:rPr>
          <w:rFonts w:hint="eastAsia" w:ascii="宋体" w:hAnsi="宋体" w:cs="宋体"/>
          <w:sz w:val="24"/>
        </w:rPr>
      </w:pPr>
      <w:r>
        <w:rPr>
          <w:rFonts w:hint="eastAsia" w:ascii="宋体" w:hAnsi="宋体" w:cs="宋体"/>
          <w:sz w:val="24"/>
        </w:rPr>
        <w:t xml:space="preserve">第六条 包装与标记</w:t>
      </w:r>
      <w:r/>
    </w:p>
    <w:p>
      <w:pPr>
        <w:ind w:firstLine="600"/>
        <w:spacing w:line="520" w:lineRule="exact"/>
        <w:rPr>
          <w:rFonts w:hint="eastAsia" w:ascii="宋体" w:hAnsi="宋体" w:cs="宋体"/>
          <w:sz w:val="24"/>
        </w:rPr>
      </w:pPr>
      <w:r>
        <w:rPr>
          <w:rFonts w:hint="eastAsia" w:ascii="宋体" w:hAnsi="宋体" w:cs="宋体"/>
          <w:sz w:val="24"/>
        </w:rPr>
        <w:t xml:space="preserve">6.1除非合同中另有规定，合同标的应保持产品制造企业原包装完好。</w:t>
      </w:r>
      <w:r/>
    </w:p>
    <w:p>
      <w:pPr>
        <w:ind w:firstLine="600"/>
        <w:spacing w:line="520" w:lineRule="exact"/>
        <w:rPr>
          <w:rFonts w:hint="eastAsia" w:ascii="宋体" w:hAnsi="宋体" w:cs="宋体"/>
          <w:sz w:val="24"/>
        </w:rPr>
      </w:pPr>
      <w:r>
        <w:rPr>
          <w:rFonts w:hint="eastAsia" w:ascii="宋体" w:hAnsi="宋体" w:cs="宋体"/>
          <w:sz w:val="24"/>
        </w:rPr>
        <w:t xml:space="preserve">6.2在合同标的的每件包装中都应附有下列单据： </w:t>
      </w:r>
      <w:r/>
    </w:p>
    <w:p>
      <w:pPr>
        <w:ind w:firstLine="600"/>
        <w:spacing w:line="520" w:lineRule="exact"/>
        <w:rPr>
          <w:rFonts w:hint="eastAsia" w:ascii="宋体" w:hAnsi="宋体" w:cs="宋体"/>
          <w:sz w:val="24"/>
        </w:rPr>
      </w:pPr>
      <w:r>
        <w:rPr>
          <w:rFonts w:hint="eastAsia" w:ascii="宋体" w:hAnsi="宋体" w:cs="宋体"/>
          <w:sz w:val="24"/>
        </w:rPr>
        <w:t xml:space="preserve">A. 装箱明细单； </w:t>
      </w:r>
      <w:r/>
    </w:p>
    <w:p>
      <w:pPr>
        <w:ind w:firstLine="600"/>
        <w:spacing w:line="520" w:lineRule="exact"/>
        <w:rPr>
          <w:rFonts w:hint="eastAsia" w:ascii="宋体" w:hAnsi="宋体" w:cs="宋体"/>
          <w:sz w:val="24"/>
        </w:rPr>
      </w:pPr>
      <w:r>
        <w:rPr>
          <w:rFonts w:hint="eastAsia" w:ascii="宋体" w:hAnsi="宋体" w:cs="宋体"/>
          <w:sz w:val="24"/>
        </w:rPr>
        <w:t xml:space="preserve">B. 质量合格证； </w:t>
      </w:r>
      <w:r/>
    </w:p>
    <w:p>
      <w:pPr>
        <w:ind w:firstLine="600"/>
        <w:spacing w:line="520" w:lineRule="exact"/>
        <w:rPr>
          <w:rFonts w:hint="eastAsia" w:ascii="宋体" w:hAnsi="宋体" w:cs="宋体"/>
          <w:sz w:val="24"/>
        </w:rPr>
      </w:pPr>
      <w:r>
        <w:rPr>
          <w:rFonts w:hint="eastAsia" w:ascii="宋体" w:hAnsi="宋体" w:cs="宋体"/>
          <w:sz w:val="24"/>
        </w:rPr>
        <w:t xml:space="preserve">C. 技术资料。</w:t>
      </w:r>
      <w:r/>
    </w:p>
    <w:p>
      <w:pPr>
        <w:ind w:firstLine="600"/>
        <w:spacing w:line="520" w:lineRule="exact"/>
        <w:rPr>
          <w:rFonts w:hint="eastAsia" w:ascii="宋体" w:hAnsi="宋体" w:cs="宋体"/>
          <w:sz w:val="24"/>
        </w:rPr>
      </w:pPr>
      <w:r>
        <w:rPr>
          <w:rFonts w:hint="eastAsia" w:ascii="宋体" w:hAnsi="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spacing w:line="520" w:lineRule="exact"/>
        <w:rPr>
          <w:rFonts w:hint="eastAsia" w:ascii="宋体" w:hAnsi="宋体" w:cs="宋体"/>
          <w:sz w:val="24"/>
        </w:rPr>
      </w:pPr>
      <w:r>
        <w:rPr>
          <w:rFonts w:hint="eastAsia" w:ascii="宋体" w:hAnsi="宋体" w:cs="宋体"/>
          <w:sz w:val="24"/>
        </w:rPr>
        <w:t xml:space="preserve">第七条 技术资料</w:t>
      </w:r>
      <w:r/>
    </w:p>
    <w:p>
      <w:pPr>
        <w:ind w:firstLine="600"/>
        <w:spacing w:line="520" w:lineRule="exact"/>
        <w:rPr>
          <w:rFonts w:hint="eastAsia" w:ascii="宋体" w:hAnsi="宋体" w:cs="宋体"/>
          <w:sz w:val="24"/>
        </w:rPr>
      </w:pPr>
      <w:r>
        <w:rPr>
          <w:rFonts w:hint="eastAsia" w:ascii="宋体" w:hAnsi="宋体" w:cs="宋体"/>
          <w:sz w:val="24"/>
        </w:rPr>
        <w:t xml:space="preserve">7.1 技术资料交付的期限和方式见《合同专用条款》。</w:t>
      </w:r>
      <w:r/>
    </w:p>
    <w:p>
      <w:pPr>
        <w:ind w:firstLine="600"/>
        <w:spacing w:line="520" w:lineRule="exact"/>
        <w:rPr>
          <w:rFonts w:hint="eastAsia" w:ascii="宋体" w:hAnsi="宋体" w:cs="宋体"/>
          <w:sz w:val="24"/>
        </w:rPr>
      </w:pPr>
      <w:r>
        <w:rPr>
          <w:rFonts w:hint="eastAsia" w:ascii="宋体" w:hAnsi="宋体" w:cs="宋体"/>
          <w:sz w:val="24"/>
        </w:rPr>
        <w:t xml:space="preserve">第八条 安装</w:t>
      </w:r>
      <w:r/>
    </w:p>
    <w:p>
      <w:pPr>
        <w:ind w:firstLine="600"/>
        <w:spacing w:line="520" w:lineRule="exact"/>
        <w:rPr>
          <w:rFonts w:hint="eastAsia" w:ascii="宋体" w:hAnsi="宋体" w:cs="宋体"/>
          <w:sz w:val="24"/>
        </w:rPr>
      </w:pPr>
      <w:r>
        <w:rPr>
          <w:rFonts w:hint="eastAsia" w:ascii="宋体" w:hAnsi="宋体" w:cs="宋体"/>
          <w:sz w:val="24"/>
        </w:rPr>
        <w:t xml:space="preserve">8.1 合同标的的安装期限见《合同专用条款》。</w:t>
      </w:r>
      <w:r/>
    </w:p>
    <w:p>
      <w:pPr>
        <w:ind w:firstLine="600"/>
        <w:spacing w:line="520" w:lineRule="exact"/>
        <w:rPr>
          <w:rFonts w:hint="eastAsia" w:ascii="宋体" w:hAnsi="宋体" w:cs="宋体"/>
          <w:sz w:val="24"/>
        </w:rPr>
      </w:pPr>
      <w:r>
        <w:rPr>
          <w:rFonts w:hint="eastAsia" w:ascii="宋体" w:hAnsi="宋体" w:cs="宋体"/>
          <w:sz w:val="24"/>
        </w:rPr>
        <w:t xml:space="preserve">第九条 验收</w:t>
      </w:r>
      <w:r/>
    </w:p>
    <w:p>
      <w:pPr>
        <w:ind w:firstLine="600"/>
        <w:spacing w:line="520" w:lineRule="exact"/>
        <w:rPr>
          <w:rFonts w:hint="eastAsia" w:ascii="宋体" w:hAnsi="宋体" w:cs="宋体"/>
          <w:sz w:val="24"/>
        </w:rPr>
      </w:pPr>
      <w:r>
        <w:rPr>
          <w:rFonts w:hint="eastAsia" w:ascii="宋体" w:hAnsi="宋体" w:cs="宋体"/>
          <w:sz w:val="24"/>
        </w:rPr>
        <w:t xml:space="preserve">9.1合同标的的试运行、验收见《合同专用条款》。</w:t>
      </w:r>
      <w:r/>
    </w:p>
    <w:p>
      <w:pPr>
        <w:ind w:firstLine="600"/>
        <w:spacing w:line="520" w:lineRule="exact"/>
        <w:rPr>
          <w:rFonts w:hint="eastAsia" w:ascii="宋体" w:hAnsi="宋体" w:cs="宋体"/>
          <w:sz w:val="24"/>
        </w:rPr>
      </w:pPr>
      <w:r>
        <w:rPr>
          <w:rFonts w:hint="eastAsia" w:ascii="宋体" w:hAnsi="宋体" w:cs="宋体"/>
          <w:sz w:val="24"/>
        </w:rPr>
        <w:t xml:space="preserve">9.2如果合同附件2 所规定的所有技术性能在验收中都已经达到，双方应在验收合格后5 日内签署验收书。</w:t>
      </w:r>
      <w:r/>
    </w:p>
    <w:p>
      <w:pPr>
        <w:ind w:firstLine="600"/>
        <w:spacing w:line="520" w:lineRule="exact"/>
        <w:rPr>
          <w:rFonts w:hint="eastAsia" w:ascii="宋体" w:hAnsi="宋体" w:cs="宋体"/>
          <w:sz w:val="24"/>
        </w:rPr>
      </w:pPr>
      <w:r>
        <w:rPr>
          <w:rFonts w:hint="eastAsia" w:ascii="宋体" w:hAnsi="宋体" w:cs="宋体"/>
          <w:sz w:val="24"/>
        </w:rPr>
        <w:t xml:space="preserve">9.3买方派出1-3名技术人员参加项目实施，卖方应积极配合甲方派出的1-3名技术人员监督管理。</w:t>
      </w:r>
      <w:r/>
    </w:p>
    <w:p>
      <w:pPr>
        <w:ind w:firstLine="600"/>
        <w:spacing w:line="520" w:lineRule="exact"/>
        <w:rPr>
          <w:rFonts w:hint="eastAsia" w:ascii="宋体" w:hAnsi="宋体" w:cs="宋体"/>
          <w:sz w:val="24"/>
        </w:rPr>
      </w:pPr>
      <w:r>
        <w:rPr>
          <w:rFonts w:hint="eastAsia" w:ascii="宋体" w:hAnsi="宋体" w:cs="宋体"/>
          <w:sz w:val="24"/>
        </w:rPr>
        <w:t xml:space="preserve">第十条 售后服务和技术培训</w:t>
      </w:r>
      <w:r/>
    </w:p>
    <w:p>
      <w:pPr>
        <w:ind w:firstLine="600"/>
        <w:spacing w:line="520" w:lineRule="exact"/>
        <w:rPr>
          <w:rFonts w:hint="eastAsia" w:ascii="宋体" w:hAnsi="宋体" w:cs="宋体"/>
          <w:sz w:val="24"/>
        </w:rPr>
      </w:pPr>
      <w:r>
        <w:rPr>
          <w:rFonts w:hint="eastAsia" w:ascii="宋体" w:hAnsi="宋体" w:cs="宋体"/>
          <w:sz w:val="24"/>
        </w:rPr>
        <w:t xml:space="preserve">10.1售后服务和技术培训见合同附件3。</w:t>
      </w:r>
      <w:r/>
    </w:p>
    <w:p>
      <w:pPr>
        <w:ind w:firstLine="600"/>
        <w:spacing w:line="520" w:lineRule="exact"/>
        <w:rPr>
          <w:rFonts w:hint="eastAsia" w:ascii="宋体" w:hAnsi="宋体" w:cs="宋体"/>
          <w:sz w:val="24"/>
        </w:rPr>
      </w:pPr>
      <w:r>
        <w:rPr>
          <w:rFonts w:hint="eastAsia" w:ascii="宋体" w:hAnsi="宋体" w:cs="宋体"/>
          <w:sz w:val="24"/>
        </w:rPr>
        <w:t xml:space="preserve">第十一条 索赔</w:t>
      </w:r>
      <w:r/>
    </w:p>
    <w:p>
      <w:pPr>
        <w:ind w:firstLine="600"/>
        <w:spacing w:line="520" w:lineRule="exact"/>
        <w:rPr>
          <w:rFonts w:hint="eastAsia" w:ascii="宋体" w:hAnsi="宋体" w:cs="宋体"/>
          <w:sz w:val="24"/>
        </w:rPr>
      </w:pPr>
      <w:r>
        <w:rPr>
          <w:rFonts w:hint="eastAsia" w:ascii="宋体" w:hAnsi="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600"/>
        <w:spacing w:line="520" w:lineRule="exact"/>
        <w:rPr>
          <w:rFonts w:hint="eastAsia" w:ascii="宋体" w:hAnsi="宋体" w:cs="宋体"/>
          <w:sz w:val="24"/>
        </w:rPr>
      </w:pPr>
      <w:r>
        <w:rPr>
          <w:rFonts w:hint="eastAsia" w:ascii="宋体" w:hAnsi="宋体" w:cs="宋体"/>
          <w:sz w:val="24"/>
        </w:rPr>
        <w:t xml:space="preserve">A. 卖方替换不符合合同规定的合同标的。</w:t>
      </w:r>
      <w:r/>
    </w:p>
    <w:p>
      <w:pPr>
        <w:ind w:firstLine="600"/>
        <w:spacing w:line="520" w:lineRule="exact"/>
        <w:rPr>
          <w:rFonts w:hint="eastAsia" w:ascii="宋体" w:hAnsi="宋体" w:cs="宋体"/>
          <w:sz w:val="24"/>
        </w:rPr>
      </w:pPr>
      <w:r>
        <w:rPr>
          <w:rFonts w:hint="eastAsia" w:ascii="宋体" w:hAnsi="宋体" w:cs="宋体"/>
          <w:sz w:val="24"/>
        </w:rPr>
        <w:t xml:space="preserve">B. 按质量低劣的程度、买方受损害的程度及损失的数额对合同标的进行降价。</w:t>
      </w:r>
      <w:r/>
    </w:p>
    <w:p>
      <w:pPr>
        <w:ind w:firstLine="600"/>
        <w:spacing w:line="520" w:lineRule="exact"/>
        <w:rPr>
          <w:rFonts w:hint="eastAsia" w:ascii="宋体" w:hAnsi="宋体" w:cs="宋体"/>
          <w:sz w:val="24"/>
        </w:rPr>
      </w:pPr>
      <w:r>
        <w:rPr>
          <w:rFonts w:hint="eastAsia" w:ascii="宋体" w:hAnsi="宋体" w:cs="宋体"/>
          <w:sz w:val="24"/>
        </w:rPr>
        <w:t xml:space="preserve">C. 拒收合同标的。</w:t>
      </w:r>
      <w:r/>
    </w:p>
    <w:p>
      <w:pPr>
        <w:ind w:firstLine="600"/>
        <w:spacing w:line="520" w:lineRule="exact"/>
        <w:rPr>
          <w:rFonts w:hint="eastAsia" w:ascii="宋体" w:hAnsi="宋体" w:cs="宋体"/>
          <w:sz w:val="24"/>
        </w:rPr>
      </w:pPr>
      <w:r>
        <w:rPr>
          <w:rFonts w:hint="eastAsia" w:ascii="宋体" w:hAnsi="宋体" w:cs="宋体"/>
          <w:sz w:val="24"/>
        </w:rPr>
        <w:t xml:space="preserve">D. 赔偿由卖方违约引起的其他损失。</w:t>
      </w:r>
      <w:r/>
    </w:p>
    <w:p>
      <w:pPr>
        <w:ind w:firstLine="600"/>
        <w:spacing w:line="520" w:lineRule="exact"/>
        <w:rPr>
          <w:rFonts w:hint="eastAsia" w:ascii="宋体" w:hAnsi="宋体" w:cs="宋体"/>
          <w:sz w:val="24"/>
        </w:rPr>
      </w:pPr>
      <w:r>
        <w:rPr>
          <w:rFonts w:hint="eastAsia" w:ascii="宋体" w:hAnsi="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600"/>
        <w:spacing w:line="520" w:lineRule="exact"/>
        <w:rPr>
          <w:rFonts w:hint="eastAsia" w:ascii="宋体" w:hAnsi="宋体" w:cs="宋体"/>
          <w:sz w:val="24"/>
        </w:rPr>
      </w:pPr>
      <w:r>
        <w:rPr>
          <w:rFonts w:hint="eastAsia" w:ascii="宋体" w:hAnsi="宋体" w:cs="宋体"/>
          <w:sz w:val="24"/>
        </w:rPr>
        <w:t xml:space="preserve">第十二条 不可抗力</w:t>
      </w:r>
      <w:r/>
    </w:p>
    <w:p>
      <w:pPr>
        <w:ind w:firstLine="600"/>
        <w:spacing w:line="520" w:lineRule="exact"/>
        <w:rPr>
          <w:rFonts w:hint="eastAsia" w:ascii="宋体" w:hAnsi="宋体" w:cs="宋体"/>
          <w:sz w:val="24"/>
        </w:rPr>
      </w:pPr>
      <w:r>
        <w:rPr>
          <w:rFonts w:hint="eastAsia" w:ascii="宋体" w:hAnsi="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520" w:lineRule="exact"/>
        <w:rPr>
          <w:rFonts w:hint="eastAsia" w:ascii="宋体" w:hAnsi="宋体" w:cs="宋体"/>
          <w:sz w:val="24"/>
        </w:rPr>
      </w:pPr>
      <w:r>
        <w:rPr>
          <w:rFonts w:hint="eastAsia" w:ascii="宋体" w:hAnsi="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520" w:lineRule="exact"/>
        <w:rPr>
          <w:rFonts w:hint="eastAsia" w:ascii="宋体" w:hAnsi="宋体" w:cs="宋体"/>
          <w:sz w:val="24"/>
        </w:rPr>
      </w:pPr>
      <w:r>
        <w:rPr>
          <w:rFonts w:hint="eastAsia" w:ascii="宋体" w:hAnsi="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520" w:lineRule="exact"/>
        <w:rPr>
          <w:rFonts w:hint="eastAsia" w:ascii="宋体" w:hAnsi="宋体" w:cs="宋体"/>
          <w:sz w:val="24"/>
        </w:rPr>
      </w:pPr>
      <w:r>
        <w:rPr>
          <w:rFonts w:hint="eastAsia" w:ascii="宋体" w:hAnsi="宋体" w:cs="宋体"/>
          <w:sz w:val="24"/>
        </w:rPr>
        <w:t xml:space="preserve">第十三条 合同的终止</w:t>
      </w:r>
      <w:r/>
    </w:p>
    <w:p>
      <w:pPr>
        <w:ind w:firstLine="600"/>
        <w:spacing w:line="520" w:lineRule="exact"/>
        <w:rPr>
          <w:rFonts w:hint="eastAsia" w:ascii="宋体" w:hAnsi="宋体" w:cs="宋体"/>
          <w:sz w:val="24"/>
        </w:rPr>
      </w:pPr>
      <w:r>
        <w:rPr>
          <w:rFonts w:hint="eastAsia" w:ascii="宋体" w:hAnsi="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spacing w:line="520" w:lineRule="exact"/>
        <w:rPr>
          <w:rFonts w:hint="eastAsia" w:ascii="宋体" w:hAnsi="宋体" w:cs="宋体"/>
          <w:sz w:val="24"/>
        </w:rPr>
      </w:pPr>
      <w:r>
        <w:rPr>
          <w:rFonts w:hint="eastAsia" w:ascii="宋体" w:hAnsi="宋体" w:cs="宋体"/>
          <w:sz w:val="24"/>
        </w:rPr>
        <w:t xml:space="preserve">A. 卖方在合同规定的交货期限后未能按《合同专用条款》中规定的最终期限交付合同标的和/或技术资料； </w:t>
      </w:r>
      <w:r/>
    </w:p>
    <w:p>
      <w:pPr>
        <w:ind w:firstLine="600"/>
        <w:spacing w:line="520" w:lineRule="exact"/>
        <w:rPr>
          <w:rFonts w:hint="eastAsia" w:ascii="宋体" w:hAnsi="宋体" w:cs="宋体"/>
          <w:sz w:val="24"/>
        </w:rPr>
      </w:pPr>
      <w:r>
        <w:rPr>
          <w:rFonts w:hint="eastAsia" w:ascii="宋体" w:hAnsi="宋体" w:cs="宋体"/>
          <w:sz w:val="24"/>
        </w:rPr>
        <w:t xml:space="preserve">B. 合同标的未能达到合同附件2 规定的技术性能； </w:t>
      </w:r>
      <w:r/>
    </w:p>
    <w:p>
      <w:pPr>
        <w:ind w:firstLine="600"/>
        <w:spacing w:line="520" w:lineRule="exact"/>
        <w:rPr>
          <w:rFonts w:hint="eastAsia" w:ascii="宋体" w:hAnsi="宋体" w:cs="宋体"/>
          <w:sz w:val="24"/>
        </w:rPr>
      </w:pPr>
      <w:r>
        <w:rPr>
          <w:rFonts w:hint="eastAsia" w:ascii="宋体" w:hAnsi="宋体" w:cs="宋体"/>
          <w:sz w:val="24"/>
        </w:rPr>
        <w:t xml:space="preserve">C. 卖方未能履行合同项下任何其它义务，并且在收到买方违约通知后未能按《合同专用条款》中规定的期限对其违约行为作出补救。</w:t>
      </w:r>
      <w:r/>
    </w:p>
    <w:p>
      <w:pPr>
        <w:ind w:firstLine="600"/>
        <w:spacing w:line="520" w:lineRule="exact"/>
        <w:rPr>
          <w:rFonts w:hint="eastAsia" w:ascii="宋体" w:hAnsi="宋体" w:cs="宋体"/>
          <w:sz w:val="24"/>
        </w:rPr>
      </w:pPr>
      <w:r>
        <w:rPr>
          <w:rFonts w:hint="eastAsia" w:ascii="宋体" w:hAnsi="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600"/>
        <w:spacing w:line="520" w:lineRule="exact"/>
        <w:rPr>
          <w:rFonts w:hint="eastAsia" w:ascii="宋体" w:hAnsi="宋体" w:cs="宋体"/>
          <w:sz w:val="24"/>
        </w:rPr>
      </w:pPr>
      <w:r>
        <w:rPr>
          <w:rFonts w:hint="eastAsia" w:ascii="宋体" w:hAnsi="宋体" w:cs="宋体"/>
          <w:sz w:val="24"/>
        </w:rPr>
        <w:t xml:space="preserve">13.3如果买方认定卖方在投标或执行合同中有腐败或欺诈行为,买方有权在任何时候发出书面通知终止合同。</w:t>
      </w:r>
      <w:r/>
    </w:p>
    <w:p>
      <w:pPr>
        <w:ind w:firstLine="600"/>
        <w:spacing w:line="520" w:lineRule="exact"/>
        <w:rPr>
          <w:rFonts w:hint="eastAsia" w:ascii="宋体" w:hAnsi="宋体" w:cs="宋体"/>
          <w:sz w:val="24"/>
        </w:rPr>
      </w:pPr>
      <w:r>
        <w:rPr>
          <w:rFonts w:hint="eastAsia" w:ascii="宋体" w:hAnsi="宋体" w:cs="宋体"/>
          <w:sz w:val="24"/>
        </w:rPr>
        <w:t xml:space="preserve">A.“腐败行为”系指在招标、采购和合同执行等过程中，为谋求利益、影响相关人员而提供、给予、接受或索取任何有价物的行为。</w:t>
      </w:r>
      <w:r/>
    </w:p>
    <w:p>
      <w:pPr>
        <w:ind w:firstLine="600"/>
        <w:spacing w:line="520" w:lineRule="exact"/>
        <w:rPr>
          <w:rFonts w:hint="eastAsia" w:ascii="宋体" w:hAnsi="宋体" w:cs="宋体"/>
          <w:sz w:val="24"/>
        </w:rPr>
      </w:pPr>
      <w:r>
        <w:rPr>
          <w:rFonts w:hint="eastAsia" w:ascii="宋体" w:hAnsi="宋体" w:cs="宋体"/>
          <w:sz w:val="24"/>
        </w:rPr>
        <w:t xml:space="preserve">B.“欺诈行为”系指为了影响招标、采购和合同执行等过程而隐瞒事实，从而给买方造成损害的行为，其中包括投标人之间的串通行为。</w:t>
      </w:r>
      <w:r/>
    </w:p>
    <w:p>
      <w:pPr>
        <w:ind w:firstLine="600"/>
        <w:spacing w:line="520" w:lineRule="exact"/>
        <w:rPr>
          <w:rFonts w:hint="eastAsia" w:ascii="宋体" w:hAnsi="宋体" w:cs="宋体"/>
          <w:sz w:val="24"/>
        </w:rPr>
      </w:pPr>
      <w:r>
        <w:rPr>
          <w:rFonts w:hint="eastAsia" w:ascii="宋体" w:hAnsi="宋体" w:cs="宋体"/>
          <w:sz w:val="24"/>
        </w:rPr>
        <w:t xml:space="preserve">13.4 在买方全部或部分终止合同的情况下，卖方应按《合同专用条款》的规定对买方给予补偿。</w:t>
      </w:r>
      <w:r/>
    </w:p>
    <w:p>
      <w:pPr>
        <w:ind w:firstLine="600"/>
        <w:spacing w:line="520" w:lineRule="exact"/>
        <w:rPr>
          <w:rFonts w:hint="eastAsia" w:ascii="宋体" w:hAnsi="宋体" w:cs="宋体"/>
          <w:sz w:val="24"/>
        </w:rPr>
      </w:pPr>
      <w:r>
        <w:rPr>
          <w:rFonts w:hint="eastAsia" w:ascii="宋体" w:hAnsi="宋体" w:cs="宋体"/>
          <w:sz w:val="24"/>
        </w:rPr>
        <w:t xml:space="preserve">第十四条 争议的解决</w:t>
      </w:r>
      <w:r/>
    </w:p>
    <w:p>
      <w:pPr>
        <w:ind w:firstLine="600"/>
        <w:spacing w:line="520" w:lineRule="exact"/>
        <w:rPr>
          <w:rFonts w:hint="eastAsia" w:ascii="宋体" w:hAnsi="宋体" w:cs="宋体"/>
          <w:sz w:val="24"/>
        </w:rPr>
      </w:pPr>
      <w:r>
        <w:rPr>
          <w:rFonts w:hint="eastAsia" w:ascii="宋体" w:hAnsi="宋体" w:cs="宋体"/>
          <w:sz w:val="24"/>
        </w:rPr>
        <w:t xml:space="preserve">14.1 因执行本合同所发生的或者与本合同有关的一切争议由合同双方通过友好协商解决，如果不能协商一致，按《合同专用条款》规定的方式解决。</w:t>
      </w:r>
      <w:r/>
    </w:p>
    <w:p>
      <w:pPr>
        <w:ind w:firstLine="600"/>
        <w:spacing w:line="520" w:lineRule="exact"/>
        <w:rPr>
          <w:rFonts w:hint="eastAsia" w:ascii="宋体" w:hAnsi="宋体" w:cs="宋体"/>
          <w:sz w:val="24"/>
        </w:rPr>
      </w:pPr>
      <w:r>
        <w:rPr>
          <w:rFonts w:hint="eastAsia" w:ascii="宋体" w:hAnsi="宋体" w:cs="宋体"/>
          <w:sz w:val="24"/>
        </w:rPr>
        <w:t xml:space="preserve">第十五条 适用法律</w:t>
      </w:r>
      <w:r/>
    </w:p>
    <w:p>
      <w:pPr>
        <w:ind w:firstLine="600"/>
        <w:spacing w:line="520" w:lineRule="exact"/>
        <w:rPr>
          <w:rFonts w:hint="eastAsia" w:ascii="宋体" w:hAnsi="宋体" w:cs="宋体"/>
          <w:sz w:val="24"/>
        </w:rPr>
      </w:pPr>
      <w:r>
        <w:rPr>
          <w:rFonts w:hint="eastAsia" w:ascii="宋体" w:hAnsi="宋体" w:cs="宋体"/>
          <w:sz w:val="24"/>
        </w:rPr>
        <w:t xml:space="preserve">15.1 本合同的执行和争议的解决适用中华人民共和国的法律并按中华人民共和国的法律进行解释。</w:t>
      </w:r>
      <w:r/>
    </w:p>
    <w:p>
      <w:pPr>
        <w:ind w:firstLine="600"/>
        <w:spacing w:line="520" w:lineRule="exact"/>
        <w:rPr>
          <w:rFonts w:hint="eastAsia" w:ascii="宋体" w:hAnsi="宋体" w:cs="宋体"/>
          <w:sz w:val="24"/>
        </w:rPr>
      </w:pPr>
      <w:r>
        <w:rPr>
          <w:rFonts w:hint="eastAsia" w:ascii="宋体" w:hAnsi="宋体" w:cs="宋体"/>
          <w:sz w:val="24"/>
        </w:rPr>
        <w:t xml:space="preserve">第十六条  权利保证</w:t>
      </w:r>
      <w:r/>
    </w:p>
    <w:p>
      <w:pPr>
        <w:ind w:firstLine="600"/>
        <w:spacing w:line="520" w:lineRule="exact"/>
        <w:rPr>
          <w:rFonts w:hint="eastAsia" w:ascii="宋体" w:hAnsi="宋体" w:cs="宋体"/>
          <w:sz w:val="24"/>
        </w:rPr>
      </w:pPr>
      <w:r>
        <w:rPr>
          <w:rFonts w:hint="eastAsia" w:ascii="宋体" w:hAnsi="宋体" w:cs="宋体"/>
          <w:sz w:val="24"/>
        </w:rPr>
        <w:t xml:space="preserve">16.1卖方应保证买方在使用合同标的时不受第三方提出侵犯其专利权、版权、商标权或其他权利的起诉。一旦出现侵权，卖方承担全部责任。</w:t>
      </w:r>
      <w:r/>
    </w:p>
    <w:p>
      <w:pPr>
        <w:ind w:firstLine="600"/>
        <w:spacing w:line="520" w:lineRule="exact"/>
        <w:rPr>
          <w:rFonts w:hint="eastAsia" w:ascii="宋体" w:hAnsi="宋体" w:cs="宋体"/>
          <w:sz w:val="24"/>
        </w:rPr>
      </w:pPr>
      <w:r>
        <w:rPr>
          <w:rFonts w:hint="eastAsia" w:ascii="宋体" w:hAnsi="宋体" w:cs="宋体"/>
          <w:sz w:val="24"/>
        </w:rPr>
        <w:t xml:space="preserve">第十七条  保密 </w:t>
      </w:r>
      <w:r/>
    </w:p>
    <w:p>
      <w:pPr>
        <w:ind w:firstLine="600"/>
        <w:spacing w:line="520" w:lineRule="exact"/>
        <w:rPr>
          <w:rFonts w:hint="eastAsia" w:ascii="宋体" w:hAnsi="宋体" w:cs="宋体"/>
          <w:sz w:val="24"/>
        </w:rPr>
      </w:pPr>
      <w:r>
        <w:rPr>
          <w:rFonts w:hint="eastAsia" w:ascii="宋体" w:hAnsi="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spacing w:line="520" w:lineRule="exact"/>
        <w:rPr>
          <w:rFonts w:hint="eastAsia" w:ascii="宋体" w:hAnsi="宋体" w:cs="宋体"/>
          <w:sz w:val="24"/>
        </w:rPr>
      </w:pPr>
      <w:r>
        <w:rPr>
          <w:rFonts w:hint="eastAsia" w:ascii="宋体" w:hAnsi="宋体" w:cs="宋体"/>
          <w:sz w:val="24"/>
        </w:rPr>
        <w:t xml:space="preserve">17.2上述秘密，卖方只能用于本合同，而且只能由卖方相应的人员使用；没有必要接触的卖方人员，不得接触。</w:t>
      </w:r>
      <w:r/>
    </w:p>
    <w:p>
      <w:pPr>
        <w:ind w:firstLine="600"/>
        <w:spacing w:line="520" w:lineRule="exact"/>
        <w:rPr>
          <w:rFonts w:hint="eastAsia" w:ascii="宋体" w:hAnsi="宋体" w:cs="宋体"/>
          <w:sz w:val="24"/>
        </w:rPr>
      </w:pPr>
      <w:r>
        <w:rPr>
          <w:rFonts w:hint="eastAsia" w:ascii="宋体" w:hAnsi="宋体" w:cs="宋体"/>
          <w:sz w:val="24"/>
        </w:rPr>
        <w:t xml:space="preserve">17.3卖方应当采取适当有效的方式保护所获取的上述秘密。</w:t>
      </w:r>
      <w:r/>
    </w:p>
    <w:p>
      <w:pPr>
        <w:ind w:firstLine="600"/>
        <w:spacing w:line="520" w:lineRule="exact"/>
        <w:rPr>
          <w:rFonts w:hint="eastAsia" w:ascii="宋体" w:hAnsi="宋体" w:cs="宋体"/>
          <w:sz w:val="24"/>
        </w:rPr>
      </w:pPr>
      <w:r>
        <w:rPr>
          <w:rFonts w:hint="eastAsia" w:ascii="宋体" w:hAnsi="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spacing w:line="520" w:lineRule="exact"/>
        <w:rPr>
          <w:rFonts w:hint="eastAsia" w:ascii="宋体" w:hAnsi="宋体" w:cs="宋体"/>
          <w:sz w:val="24"/>
        </w:rPr>
      </w:pPr>
      <w:r>
        <w:rPr>
          <w:rFonts w:hint="eastAsia" w:ascii="宋体" w:hAnsi="宋体" w:cs="宋体"/>
          <w:sz w:val="24"/>
        </w:rPr>
        <w:t xml:space="preserve">第十八条 合同生效及其他</w:t>
      </w:r>
      <w:r/>
    </w:p>
    <w:p>
      <w:pPr>
        <w:ind w:firstLine="600"/>
        <w:spacing w:line="520" w:lineRule="exact"/>
        <w:rPr>
          <w:rFonts w:hint="eastAsia" w:ascii="宋体" w:hAnsi="宋体" w:cs="宋体"/>
          <w:sz w:val="24"/>
        </w:rPr>
      </w:pPr>
      <w:r>
        <w:rPr>
          <w:rFonts w:hint="eastAsia" w:ascii="宋体" w:hAnsi="宋体" w:cs="宋体"/>
          <w:sz w:val="24"/>
        </w:rPr>
        <w:t xml:space="preserve">18.1 本合同在合同协议书（合同附件1）规定的条件全部满足后生效。</w:t>
      </w:r>
      <w:r/>
    </w:p>
    <w:p>
      <w:pPr>
        <w:ind w:firstLine="600"/>
        <w:spacing w:line="520" w:lineRule="exact"/>
        <w:rPr>
          <w:rFonts w:hint="eastAsia" w:ascii="宋体" w:hAnsi="宋体" w:cs="宋体"/>
          <w:sz w:val="24"/>
        </w:rPr>
      </w:pPr>
      <w:r>
        <w:rPr>
          <w:rFonts w:hint="eastAsia" w:ascii="宋体" w:hAnsi="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520" w:lineRule="exact"/>
        <w:rPr>
          <w:rFonts w:hint="eastAsia" w:ascii="宋体" w:hAnsi="宋体" w:cs="宋体"/>
          <w:sz w:val="24"/>
        </w:rPr>
      </w:pPr>
      <w:r>
        <w:rPr>
          <w:rFonts w:hint="eastAsia" w:ascii="宋体" w:hAnsi="宋体" w:cs="宋体"/>
          <w:sz w:val="24"/>
        </w:rPr>
        <w:t xml:space="preserve">18.3 合同双方各自承担与本合同有关的应负税费。</w:t>
      </w:r>
      <w:r/>
    </w:p>
    <w:p>
      <w:pPr>
        <w:ind w:firstLine="600"/>
        <w:spacing w:line="520" w:lineRule="exact"/>
        <w:rPr>
          <w:rFonts w:hint="eastAsia" w:ascii="宋体" w:hAnsi="宋体" w:cs="宋体"/>
          <w:sz w:val="24"/>
        </w:rPr>
      </w:pPr>
      <w:r>
        <w:rPr>
          <w:rFonts w:hint="eastAsia" w:ascii="宋体" w:hAnsi="宋体" w:cs="宋体"/>
          <w:sz w:val="24"/>
        </w:rPr>
        <w:t xml:space="preserve">18.4合同双方除非《合同专用条款》另有规定，所有合同文件及相关的修订和合同双方之间的书面联络，应使用中文书就并按中文解释。</w:t>
      </w:r>
      <w:r/>
    </w:p>
    <w:p>
      <w:pPr>
        <w:ind w:firstLine="600"/>
        <w:spacing w:line="520" w:lineRule="exact"/>
        <w:rPr>
          <w:rFonts w:hint="eastAsia" w:ascii="宋体" w:hAnsi="宋体" w:cs="宋体"/>
          <w:sz w:val="24"/>
        </w:rPr>
      </w:pPr>
      <w:r>
        <w:rPr>
          <w:rFonts w:hint="eastAsia" w:ascii="宋体" w:hAnsi="宋体" w:cs="宋体"/>
          <w:sz w:val="24"/>
        </w:rPr>
        <w:t xml:space="preserve">18.5对本合同的任何补充、增添或修改以书面方式进行。</w:t>
      </w:r>
      <w:r/>
    </w:p>
    <w:p>
      <w:pPr>
        <w:ind w:firstLine="600"/>
        <w:spacing w:line="520" w:lineRule="exact"/>
        <w:rPr>
          <w:rFonts w:hint="eastAsia" w:ascii="宋体" w:hAnsi="宋体" w:cs="宋体"/>
          <w:sz w:val="24"/>
        </w:rPr>
      </w:pPr>
      <w:r>
        <w:rPr>
          <w:rFonts w:hint="eastAsia" w:ascii="宋体" w:hAnsi="宋体" w:cs="宋体"/>
          <w:sz w:val="24"/>
        </w:rPr>
        <w:t xml:space="preserve">18.6没有另一方的事先书面同意，合同任何一方不得将合同项下的任何权利和义务转让给第三方。</w:t>
      </w:r>
      <w:r/>
    </w:p>
    <w:p>
      <w:pPr>
        <w:ind w:firstLine="600"/>
        <w:spacing w:line="520" w:lineRule="exact"/>
        <w:rPr>
          <w:rFonts w:hint="eastAsia" w:ascii="宋体" w:hAnsi="宋体" w:cs="宋体"/>
          <w:sz w:val="24"/>
        </w:rPr>
      </w:pPr>
      <w:r>
        <w:rPr>
          <w:rFonts w:hint="eastAsia" w:ascii="宋体" w:hAnsi="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520" w:lineRule="exact"/>
        <w:rPr>
          <w:rFonts w:hint="eastAsia" w:ascii="宋体" w:hAnsi="宋体" w:cs="宋体"/>
          <w:sz w:val="24"/>
        </w:rPr>
      </w:pPr>
      <w:r>
        <w:rPr>
          <w:rFonts w:hint="eastAsia" w:ascii="宋体" w:hAnsi="宋体" w:cs="宋体"/>
          <w:sz w:val="24"/>
        </w:rPr>
        <w:t xml:space="preserve">18.8合同条款中的标题和边注仅供参考使用，不应视为合同的一部分，也不影响本文的解释。</w:t>
      </w:r>
      <w:r/>
    </w:p>
    <w:p>
      <w:pPr>
        <w:ind w:firstLine="600"/>
        <w:spacing w:line="520" w:lineRule="exact"/>
        <w:rPr>
          <w:rFonts w:hint="eastAsia" w:ascii="宋体" w:hAnsi="宋体" w:cs="宋体"/>
          <w:sz w:val="24"/>
        </w:rPr>
      </w:pPr>
      <w:r>
        <w:rPr>
          <w:rFonts w:hint="eastAsia" w:ascii="宋体" w:hAnsi="宋体" w:cs="宋体"/>
          <w:sz w:val="24"/>
        </w:rPr>
        <w:t xml:space="preserve">18.9合同构成买方和卖方之间就合同主要内容方面的完整协议，并且取代合同签订前所有关于这方面的通讯、协商、协议(不论是书面的，还是口头的)。</w:t>
      </w:r>
      <w:r/>
    </w:p>
    <w:p>
      <w:pPr>
        <w:ind w:firstLine="600"/>
        <w:spacing w:line="520" w:lineRule="exact"/>
        <w:rPr>
          <w:rFonts w:hint="eastAsia" w:ascii="宋体" w:hAnsi="宋体" w:cs="宋体"/>
          <w:sz w:val="24"/>
        </w:rPr>
      </w:pPr>
      <w:r>
        <w:rPr>
          <w:rFonts w:hint="eastAsia" w:ascii="宋体" w:hAnsi="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spacing w:line="520" w:lineRule="exact"/>
        <w:rPr>
          <w:rFonts w:hint="eastAsia" w:ascii="宋体" w:hAnsi="宋体" w:cs="宋体"/>
          <w:sz w:val="24"/>
        </w:rPr>
      </w:pPr>
      <w:r>
        <w:rPr>
          <w:rFonts w:hint="eastAsia" w:ascii="宋体" w:hAnsi="宋体" w:cs="宋体"/>
          <w:sz w:val="24"/>
        </w:rPr>
        <w:t xml:space="preserve">18.11合同双方之间的一切联络往来应以书面形式按《合同专用条款》中规定的通讯地址发往合同另一方。有关重要事项的传真应及时用挂号信或快件确认。</w:t>
      </w:r>
      <w:r/>
    </w:p>
    <w:p>
      <w:pPr>
        <w:jc w:val="center"/>
        <w:rPr>
          <w:rFonts w:hint="eastAsia" w:ascii="宋体" w:hAnsi="宋体" w:eastAsia="宋体" w:cs="宋体"/>
          <w:b/>
          <w:bCs/>
          <w:color w:val="auto"/>
          <w:sz w:val="84"/>
          <w:szCs w:val="84"/>
          <w:lang w:eastAsia="zh-CN"/>
        </w:rPr>
      </w:pPr>
      <w:r>
        <w:rPr>
          <w:rFonts w:hint="eastAsia" w:ascii="宋体" w:hAnsi="宋体" w:cs="宋体"/>
          <w:sz w:val="30"/>
          <w:szCs w:val="30"/>
        </w:rPr>
        <w:br w:type="page" w:clear="all"/>
      </w:r>
      <w:r/>
    </w:p>
    <w:p>
      <w:pPr>
        <w:ind w:left="0" w:firstLine="480"/>
        <w:keepLines w:val="0"/>
        <w:keepNext w:val="0"/>
        <w:pageBreakBefore w:val="0"/>
        <w:spacing w:line="288" w:lineRule="auto"/>
        <w:widowControl w:val="off"/>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eastAsia="zh-CN"/>
        </w:rPr>
        <w:t xml:space="preserve">根据</w:t>
      </w:r>
      <w:r>
        <w:rPr>
          <w:rFonts w:hint="eastAsia" w:ascii="Times New Roman" w:hAnsi="Times New Roman" w:eastAsia="宋体" w:cs="Times New Roman"/>
          <w:color w:val="auto"/>
          <w:sz w:val="24"/>
        </w:rPr>
        <w:t xml:space="preserve">《中华人民共和国政府采购法》《中华人民共和国政府采购法实施条例》《中华人民共和国</w:t>
      </w:r>
      <w:r>
        <w:rPr>
          <w:rFonts w:hint="eastAsia" w:ascii="Times New Roman" w:hAnsi="Times New Roman" w:eastAsia="宋体" w:cs="Times New Roman"/>
          <w:color w:val="auto"/>
          <w:sz w:val="24"/>
          <w:lang w:val="en-US" w:eastAsia="zh-CN"/>
        </w:rPr>
        <w:t xml:space="preserve">民法典</w:t>
      </w:r>
      <w:r>
        <w:rPr>
          <w:rFonts w:hint="eastAsia" w:ascii="Times New Roman" w:hAnsi="Times New Roman" w:eastAsia="宋体" w:cs="Times New Roman"/>
          <w:color w:val="auto"/>
          <w:sz w:val="24"/>
        </w:rPr>
        <w:t xml:space="preserve">》</w:t>
      </w:r>
      <w:r>
        <w:rPr>
          <w:rFonts w:hint="eastAsia" w:ascii="Times New Roman" w:hAnsi="Times New Roman" w:eastAsia="宋体" w:cs="Times New Roman"/>
          <w:color w:val="auto"/>
          <w:sz w:val="24"/>
          <w:lang w:eastAsia="zh-CN"/>
        </w:rPr>
        <w:t xml:space="preserve">等相</w:t>
      </w:r>
      <w:r>
        <w:rPr>
          <w:rFonts w:hint="eastAsia" w:ascii="Times New Roman" w:hAnsi="Times New Roman" w:eastAsia="宋体" w:cs="Times New Roman"/>
          <w:color w:val="auto"/>
          <w:sz w:val="24"/>
        </w:rPr>
        <w:t xml:space="preserve">关法律法规</w:t>
      </w:r>
      <w:r>
        <w:rPr>
          <w:rFonts w:hint="eastAsia" w:ascii="Times New Roman" w:hAnsi="Times New Roman" w:eastAsia="宋体" w:cs="Times New Roman"/>
          <w:color w:val="000000"/>
          <w:sz w:val="24"/>
          <w:lang w:eastAsia="zh-CN"/>
        </w:rPr>
        <w:t xml:space="preserve">及本</w:t>
      </w:r>
      <w:r>
        <w:rPr>
          <w:rFonts w:hint="eastAsia" w:ascii="Times New Roman" w:hAnsi="Times New Roman" w:eastAsia="宋体" w:cs="Times New Roman"/>
          <w:color w:val="000000"/>
          <w:sz w:val="24"/>
        </w:rPr>
        <w:t xml:space="preserve">项目</w:t>
      </w:r>
      <w:r>
        <w:rPr>
          <w:rFonts w:hint="eastAsia" w:ascii="Times New Roman" w:hAnsi="Times New Roman" w:eastAsia="宋体" w:cs="Times New Roman"/>
          <w:color w:val="000000"/>
          <w:sz w:val="24"/>
          <w:lang w:eastAsia="zh-CN"/>
        </w:rPr>
        <w:t xml:space="preserve">采购文件的要求和</w:t>
      </w:r>
      <w:r>
        <w:rPr>
          <w:rFonts w:hint="eastAsia" w:ascii="Times New Roman" w:hAnsi="Times New Roman" w:eastAsia="宋体" w:cs="Times New Roman"/>
          <w:color w:val="000000"/>
          <w:sz w:val="24"/>
        </w:rPr>
        <w:t xml:space="preserve">采购结果</w:t>
      </w:r>
      <w:r>
        <w:rPr>
          <w:rFonts w:hint="eastAsia" w:ascii="Times New Roman" w:hAnsi="Times New Roman" w:eastAsia="宋体" w:cs="Times New Roman"/>
          <w:color w:val="auto"/>
          <w:sz w:val="24"/>
        </w:rPr>
        <w:t xml:space="preserve">，遵循平等、自愿、公平和诚实信用的原则，</w:t>
      </w:r>
      <w:r>
        <w:rPr>
          <w:rFonts w:hint="eastAsia" w:ascii="Times New Roman" w:hAnsi="Times New Roman" w:eastAsia="宋体" w:cs="Times New Roman"/>
          <w:color w:val="000000"/>
          <w:sz w:val="24"/>
        </w:rPr>
        <w:t xml:space="preserve">经</w:t>
      </w:r>
      <w:r>
        <w:rPr>
          <w:rFonts w:hint="eastAsia" w:ascii="Times New Roman" w:hAnsi="Times New Roman" w:eastAsia="宋体" w:cs="Times New Roman"/>
          <w:color w:val="000000"/>
          <w:sz w:val="24"/>
          <w:lang w:eastAsia="zh-CN"/>
        </w:rPr>
        <w:t xml:space="preserve">双方</w:t>
      </w:r>
      <w:r>
        <w:rPr>
          <w:rFonts w:hint="eastAsia" w:ascii="Times New Roman" w:hAnsi="Times New Roman" w:eastAsia="宋体" w:cs="Times New Roman"/>
          <w:color w:val="000000"/>
          <w:sz w:val="24"/>
        </w:rPr>
        <w:t xml:space="preserve">协商一致，订立</w:t>
      </w:r>
      <w:r>
        <w:rPr>
          <w:rFonts w:hint="eastAsia" w:ascii="Times New Roman" w:hAnsi="Times New Roman" w:eastAsia="宋体" w:cs="Times New Roman"/>
          <w:color w:val="000000"/>
          <w:sz w:val="24"/>
          <w:lang w:eastAsia="zh-CN"/>
        </w:rPr>
        <w:t xml:space="preserve">本</w:t>
      </w:r>
      <w:r>
        <w:rPr>
          <w:rFonts w:hint="eastAsia" w:ascii="Times New Roman" w:hAnsi="Times New Roman" w:eastAsia="宋体" w:cs="Times New Roman"/>
          <w:color w:val="000000"/>
          <w:sz w:val="24"/>
        </w:rPr>
        <w:t xml:space="preserve">合同</w:t>
      </w:r>
      <w:r>
        <w:rPr>
          <w:rFonts w:hint="eastAsia" w:ascii="Times New Roman" w:hAnsi="Times New Roman" w:eastAsia="宋体" w:cs="Times New Roman"/>
          <w:color w:val="000000"/>
          <w:sz w:val="24"/>
          <w:lang w:val="en-US" w:eastAsia="zh-CN"/>
        </w:rPr>
        <w:t xml:space="preserve">。</w:t>
      </w:r>
      <w:r/>
    </w:p>
    <w:p>
      <w:pPr>
        <w:ind w:left="0" w:firstLine="480"/>
        <w:keepLines w:val="0"/>
        <w:keepNext w:val="0"/>
        <w:pageBreakBefore w:val="0"/>
        <w:spacing w:line="288" w:lineRule="auto"/>
        <w:widowControl w:val="off"/>
        <w:rPr>
          <w:rFonts w:hint="eastAsia" w:ascii="黑体" w:hAnsi="黑体" w:eastAsia="黑体" w:cs="黑体"/>
          <w:color w:val="auto"/>
          <w:sz w:val="24"/>
          <w:lang w:eastAsia="zh-CN"/>
        </w:rPr>
      </w:pPr>
      <w:r>
        <w:rPr>
          <w:rFonts w:hint="eastAsia" w:ascii="黑体" w:hAnsi="黑体" w:eastAsia="黑体" w:cs="黑体"/>
          <w:color w:val="auto"/>
          <w:sz w:val="24"/>
          <w:lang w:eastAsia="zh-CN"/>
        </w:rPr>
        <w:t xml:space="preserve">一、标的物清单</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乙方向甲方供应下表中所列设备，负责安装调试，并提供相关服务。</w:t>
      </w:r>
      <w:r/>
    </w:p>
    <w:tbl>
      <w:tblPr>
        <w:tblStyle w:val="752"/>
        <w:tblW w:w="8676"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6"/>
        <w:gridCol w:w="1603"/>
        <w:gridCol w:w="1735"/>
        <w:gridCol w:w="480"/>
        <w:gridCol w:w="469"/>
        <w:gridCol w:w="953"/>
        <w:gridCol w:w="1065"/>
        <w:gridCol w:w="825"/>
      </w:tblGrid>
      <w:tr>
        <w:trPr/>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ind w:firstLine="2"/>
              <w:jc w:val="center"/>
              <w:rPr>
                <w:rFonts w:hint="eastAsia" w:ascii="黑体" w:hAnsi="黑体" w:eastAsia="黑体" w:cs="黑体"/>
              </w:rPr>
            </w:pPr>
            <w:r>
              <w:rPr>
                <w:rFonts w:hint="eastAsia" w:ascii="黑体" w:hAnsi="黑体" w:eastAsia="黑体" w:cs="黑体"/>
                <w:sz w:val="24"/>
              </w:rPr>
              <w:t xml:space="preserve">名称</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rPr>
                <w:rFonts w:hint="eastAsia" w:ascii="黑体" w:hAnsi="黑体" w:eastAsia="黑体" w:cs="黑体"/>
                <w:sz w:val="24"/>
              </w:rPr>
            </w:pPr>
            <w:r>
              <w:rPr>
                <w:rFonts w:hint="eastAsia" w:ascii="黑体" w:hAnsi="黑体" w:eastAsia="黑体" w:cs="黑体"/>
                <w:sz w:val="24"/>
                <w:lang w:eastAsia="zh-CN"/>
              </w:rPr>
              <w:t xml:space="preserve">品牌</w:t>
            </w:r>
            <w:r>
              <w:rPr>
                <w:rFonts w:hint="eastAsia" w:ascii="黑体" w:hAnsi="黑体" w:eastAsia="黑体" w:cs="黑体"/>
                <w:sz w:val="24"/>
              </w:rPr>
              <w:t xml:space="preserve">规格</w:t>
            </w:r>
            <w:r/>
          </w:p>
          <w:p>
            <w:pPr>
              <w:jc w:val="center"/>
              <w:rPr>
                <w:rFonts w:hint="eastAsia" w:ascii="黑体" w:hAnsi="黑体" w:eastAsia="黑体" w:cs="黑体"/>
              </w:rPr>
            </w:pPr>
            <w:r>
              <w:rPr>
                <w:rFonts w:hint="eastAsia" w:ascii="黑体" w:hAnsi="黑体" w:eastAsia="黑体" w:cs="黑体"/>
                <w:sz w:val="24"/>
              </w:rPr>
              <w:t xml:space="preserve">型号</w:t>
            </w:r>
            <w:r/>
          </w:p>
        </w:tc>
        <w:tc>
          <w:tcPr>
            <w:tcBorders>
              <w:top w:val="single" w:color="000000" w:sz="4" w:space="0"/>
              <w:left w:val="none" w:color="000000" w:sz="4" w:space="0"/>
              <w:bottom w:val="single" w:color="000000" w:sz="4" w:space="0"/>
              <w:right w:val="single" w:color="000000" w:sz="4" w:space="0"/>
            </w:tcBorders>
            <w:tcW w:w="1735" w:type="dxa"/>
            <w:vAlign w:val="center"/>
            <w:textDirection w:val="lrTb"/>
            <w:noWrap w:val="false"/>
          </w:tcPr>
          <w:p>
            <w:pPr>
              <w:jc w:val="center"/>
              <w:rPr>
                <w:rFonts w:hint="eastAsia" w:ascii="黑体" w:hAnsi="黑体" w:eastAsia="黑体" w:cs="黑体"/>
                <w:lang w:eastAsia="zh-CN"/>
              </w:rPr>
            </w:pPr>
            <w:r>
              <w:rPr>
                <w:rFonts w:hint="eastAsia" w:ascii="黑体" w:hAnsi="黑体" w:eastAsia="黑体" w:cs="黑体"/>
                <w:sz w:val="24"/>
                <w:lang w:eastAsia="zh-CN"/>
              </w:rPr>
              <w:t xml:space="preserve">产品制造企业</w:t>
            </w:r>
            <w:r/>
          </w:p>
        </w:tc>
        <w:tc>
          <w:tcPr>
            <w:tcBorders>
              <w:top w:val="single" w:color="000000" w:sz="4" w:space="0"/>
              <w:left w:val="none" w:color="000000" w:sz="4" w:space="0"/>
              <w:bottom w:val="single" w:color="000000" w:sz="4" w:space="0"/>
              <w:right w:val="single" w:color="000000" w:sz="4" w:space="0"/>
            </w:tcBorders>
            <w:tcW w:w="480" w:type="dxa"/>
            <w:vAlign w:val="center"/>
            <w:textDirection w:val="lrTb"/>
            <w:noWrap w:val="false"/>
          </w:tcPr>
          <w:p>
            <w:pPr>
              <w:jc w:val="center"/>
              <w:rPr>
                <w:rFonts w:hint="eastAsia" w:ascii="黑体" w:hAnsi="黑体" w:eastAsia="黑体" w:cs="黑体"/>
              </w:rPr>
            </w:pPr>
            <w:r>
              <w:rPr>
                <w:rFonts w:hint="eastAsia" w:ascii="黑体" w:hAnsi="黑体" w:eastAsia="黑体" w:cs="黑体"/>
                <w:sz w:val="24"/>
              </w:rPr>
              <w:t xml:space="preserve">单位</w:t>
            </w:r>
            <w:r/>
          </w:p>
        </w:tc>
        <w:tc>
          <w:tcPr>
            <w:tcBorders>
              <w:top w:val="single" w:color="000000" w:sz="4" w:space="0"/>
              <w:left w:val="none" w:color="000000" w:sz="4" w:space="0"/>
              <w:bottom w:val="single" w:color="000000" w:sz="4" w:space="0"/>
              <w:right w:val="single" w:color="000000" w:sz="4" w:space="0"/>
            </w:tcBorders>
            <w:tcW w:w="469" w:type="dxa"/>
            <w:vAlign w:val="center"/>
            <w:textDirection w:val="lrTb"/>
            <w:noWrap w:val="false"/>
          </w:tcPr>
          <w:p>
            <w:pPr>
              <w:jc w:val="center"/>
              <w:rPr>
                <w:rFonts w:hint="eastAsia" w:ascii="黑体" w:hAnsi="黑体" w:eastAsia="黑体" w:cs="黑体"/>
              </w:rPr>
            </w:pPr>
            <w:r>
              <w:rPr>
                <w:rFonts w:hint="eastAsia" w:ascii="黑体" w:hAnsi="黑体" w:eastAsia="黑体" w:cs="黑体"/>
                <w:sz w:val="24"/>
              </w:rPr>
              <w:t xml:space="preserve">数量</w:t>
            </w:r>
            <w:r/>
          </w:p>
        </w:tc>
        <w:tc>
          <w:tcPr>
            <w:tcBorders>
              <w:top w:val="single" w:color="000000" w:sz="4" w:space="0"/>
              <w:left w:val="none" w:color="000000" w:sz="4" w:space="0"/>
              <w:bottom w:val="single" w:color="000000" w:sz="4" w:space="0"/>
              <w:right w:val="single" w:color="000000" w:sz="4" w:space="0"/>
            </w:tcBorders>
            <w:tcW w:w="953" w:type="dxa"/>
            <w:vAlign w:val="center"/>
            <w:textDirection w:val="lrTb"/>
            <w:noWrap w:val="false"/>
          </w:tcPr>
          <w:p>
            <w:pPr>
              <w:jc w:val="center"/>
              <w:rPr>
                <w:rFonts w:hint="eastAsia" w:ascii="黑体" w:hAnsi="黑体" w:eastAsia="黑体" w:cs="黑体"/>
              </w:rPr>
            </w:pPr>
            <w:r>
              <w:rPr>
                <w:rFonts w:hint="eastAsia" w:ascii="黑体" w:hAnsi="黑体" w:eastAsia="黑体" w:cs="黑体"/>
                <w:sz w:val="24"/>
              </w:rPr>
              <w:t xml:space="preserve">单价</w:t>
            </w:r>
            <w:r/>
          </w:p>
          <w:p>
            <w:pPr>
              <w:jc w:val="center"/>
              <w:rPr>
                <w:rFonts w:hint="eastAsia" w:ascii="黑体" w:hAnsi="黑体" w:eastAsia="黑体" w:cs="黑体"/>
              </w:rPr>
            </w:pPr>
            <w:r>
              <w:rPr>
                <w:rFonts w:hint="eastAsia" w:ascii="黑体" w:hAnsi="黑体" w:eastAsia="黑体" w:cs="黑体"/>
                <w:sz w:val="24"/>
              </w:rPr>
              <w:t xml:space="preserve">（元）</w:t>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jc w:val="center"/>
              <w:rPr>
                <w:rFonts w:hint="eastAsia" w:ascii="黑体" w:hAnsi="黑体" w:eastAsia="黑体" w:cs="黑体"/>
              </w:rPr>
            </w:pPr>
            <w:r>
              <w:rPr>
                <w:rFonts w:hint="eastAsia" w:ascii="黑体" w:hAnsi="黑体" w:eastAsia="黑体" w:cs="黑体"/>
                <w:sz w:val="24"/>
              </w:rPr>
              <w:t xml:space="preserve">总价</w:t>
            </w:r>
            <w:r/>
          </w:p>
          <w:p>
            <w:pPr>
              <w:jc w:val="center"/>
              <w:rPr>
                <w:rFonts w:hint="eastAsia" w:ascii="黑体" w:hAnsi="黑体" w:eastAsia="黑体" w:cs="黑体"/>
              </w:rPr>
            </w:pPr>
            <w:r>
              <w:rPr>
                <w:rFonts w:hint="eastAsia" w:ascii="黑体" w:hAnsi="黑体" w:eastAsia="黑体" w:cs="黑体"/>
                <w:sz w:val="24"/>
              </w:rPr>
              <w:t xml:space="preserve">（元）</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黑体" w:hAnsi="黑体" w:eastAsia="黑体" w:cs="黑体"/>
              </w:rPr>
            </w:pPr>
            <w:r>
              <w:rPr>
                <w:rFonts w:hint="eastAsia" w:ascii="黑体" w:hAnsi="黑体" w:eastAsia="黑体" w:cs="黑体"/>
                <w:sz w:val="24"/>
              </w:rPr>
              <w:t xml:space="preserve">随机配件</w:t>
            </w:r>
            <w:r/>
          </w:p>
        </w:tc>
      </w:tr>
      <w:tr>
        <w:trPr>
          <w:trHeight w:val="340" w:hRule="exact"/>
        </w:trPr>
        <w:tc>
          <w:tcPr>
            <w:tcBorders>
              <w:top w:val="non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173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6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Borders>
              <w:top w:val="non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3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6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Borders>
              <w:top w:val="non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3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6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Borders>
              <w:top w:val="non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3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6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Borders>
              <w:top w:val="none" w:color="000000" w:sz="4" w:space="0"/>
              <w:left w:val="single" w:color="000000" w:sz="4" w:space="0"/>
              <w:bottom w:val="single" w:color="000000" w:sz="4" w:space="0"/>
              <w:right w:val="single" w:color="000000" w:sz="4" w:space="0"/>
            </w:tcBorders>
            <w:tcW w:w="1546" w:type="dxa"/>
            <w:vAlign w:val="center"/>
            <w:textDirection w:val="lrTb"/>
            <w:noWrap w:val="false"/>
          </w:tcPr>
          <w:p>
            <w:pPr>
              <w:ind w:left="0" w:firstLine="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3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6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Borders>
              <w:top w:val="none" w:color="000000" w:sz="4" w:space="0"/>
              <w:left w:val="single" w:color="000000" w:sz="4" w:space="0"/>
              <w:bottom w:val="single" w:color="000000" w:sz="4" w:space="0"/>
              <w:right w:val="single" w:color="000000" w:sz="4" w:space="0"/>
            </w:tcBorders>
            <w:tcW w:w="1546" w:type="dxa"/>
            <w:vAlign w:val="center"/>
            <w:textDirection w:val="lrTb"/>
            <w:noWrap w:val="false"/>
          </w:tcPr>
          <w:p>
            <w:pPr>
              <w:ind w:left="0" w:firstLine="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3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6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gridSpan w:val="8"/>
            <w:tcBorders>
              <w:top w:val="none" w:color="000000" w:sz="4" w:space="0"/>
              <w:left w:val="single" w:color="000000" w:sz="4" w:space="0"/>
              <w:bottom w:val="single" w:color="000000" w:sz="4" w:space="0"/>
              <w:right w:val="single" w:color="000000" w:sz="4" w:space="0"/>
            </w:tcBorders>
            <w:tcW w:w="8676" w:type="dxa"/>
            <w:textDirection w:val="lrTb"/>
            <w:noWrap w:val="false"/>
          </w:tcPr>
          <w:p>
            <w:pPr>
              <w:jc w:val="both"/>
              <w:rPr>
                <w:rFonts w:hint="eastAsia" w:ascii="宋体" w:hAnsi="宋体" w:eastAsia="宋体" w:cs="宋体"/>
                <w:lang w:eastAsia="zh-CN"/>
              </w:rPr>
            </w:pPr>
            <w:r>
              <w:rPr>
                <w:rFonts w:hint="eastAsia" w:ascii="宋体" w:hAnsi="宋体" w:eastAsia="宋体" w:cs="宋体"/>
                <w:color w:val="auto"/>
                <w:sz w:val="24"/>
                <w:lang w:eastAsia="zh-CN"/>
              </w:rPr>
              <w:t xml:space="preserve">设备详细参数见采购文件（包括询价文件、</w:t>
            </w:r>
            <w:r>
              <w:rPr>
                <w:rFonts w:hint="eastAsia" w:ascii="Times New Roman" w:hAnsi="Times New Roman" w:eastAsia="宋体" w:cs="Times New Roman"/>
                <w:color w:val="auto"/>
                <w:sz w:val="24"/>
                <w:lang w:val="en-US" w:eastAsia="zh-CN"/>
              </w:rPr>
              <w:t xml:space="preserve">谈判文件、招标文件，下同</w:t>
            </w:r>
            <w:r>
              <w:rPr>
                <w:rFonts w:hint="eastAsia" w:ascii="宋体" w:hAnsi="宋体" w:eastAsia="宋体" w:cs="宋体"/>
                <w:color w:val="auto"/>
                <w:sz w:val="24"/>
                <w:lang w:eastAsia="zh-CN"/>
              </w:rPr>
              <w:t xml:space="preserve">）及投标文件（包括响应文件</w:t>
            </w:r>
            <w:r>
              <w:rPr>
                <w:rFonts w:hint="eastAsia" w:ascii="Times New Roman" w:hAnsi="Times New Roman" w:eastAsia="宋体" w:cs="Times New Roman"/>
                <w:color w:val="auto"/>
                <w:sz w:val="24"/>
                <w:lang w:val="en-US" w:eastAsia="zh-CN"/>
              </w:rPr>
              <w:t xml:space="preserve">、报价文件及投标人在投标时的书面承诺等，下同</w:t>
            </w:r>
            <w:r>
              <w:rPr>
                <w:rFonts w:hint="eastAsia" w:ascii="宋体" w:hAnsi="宋体" w:eastAsia="宋体" w:cs="宋体"/>
                <w:color w:val="auto"/>
                <w:sz w:val="24"/>
                <w:lang w:eastAsia="zh-CN"/>
              </w:rPr>
              <w:t xml:space="preserve">）</w:t>
            </w:r>
            <w:r>
              <w:rPr>
                <w:rFonts w:hint="eastAsia" w:ascii="Times New Roman" w:hAnsi="Times New Roman" w:eastAsia="宋体" w:cs="Times New Roman"/>
                <w:color w:val="auto"/>
                <w:sz w:val="24"/>
                <w:lang w:val="en-US" w:eastAsia="zh-CN"/>
              </w:rPr>
              <w:t xml:space="preserve">等</w:t>
            </w:r>
            <w:r>
              <w:rPr>
                <w:rFonts w:hint="eastAsia" w:ascii="宋体" w:hAnsi="宋体" w:eastAsia="宋体" w:cs="宋体"/>
                <w:color w:val="auto"/>
                <w:sz w:val="24"/>
                <w:lang w:eastAsia="zh-CN"/>
              </w:rPr>
              <w:t xml:space="preserve">。</w:t>
            </w:r>
            <w:r/>
          </w:p>
        </w:tc>
      </w:tr>
      <w:tr>
        <w:trPr/>
        <w:tc>
          <w:tcPr>
            <w:gridSpan w:val="8"/>
            <w:tcBorders>
              <w:top w:val="none" w:color="000000" w:sz="4" w:space="0"/>
              <w:left w:val="single" w:color="000000" w:sz="4" w:space="0"/>
              <w:bottom w:val="single" w:color="000000" w:sz="4" w:space="0"/>
              <w:right w:val="single" w:color="000000" w:sz="4" w:space="0"/>
            </w:tcBorders>
            <w:tcW w:w="8676" w:type="dxa"/>
            <w:textDirection w:val="lrTb"/>
            <w:noWrap w:val="false"/>
          </w:tcPr>
          <w:p>
            <w:pPr>
              <w:jc w:val="both"/>
              <w:rPr>
                <w:rFonts w:hint="eastAsia" w:ascii="宋体" w:hAnsi="宋体" w:eastAsia="宋体" w:cs="宋体"/>
                <w:sz w:val="24"/>
                <w:lang w:eastAsia="zh-CN"/>
              </w:rPr>
            </w:pPr>
            <w:r>
              <w:rPr>
                <w:rFonts w:hint="eastAsia" w:ascii="宋体" w:hAnsi="宋体" w:eastAsia="宋体" w:cs="宋体"/>
                <w:sz w:val="24"/>
                <w:lang w:eastAsia="zh-CN"/>
              </w:rPr>
              <w:t xml:space="preserve">合同总金额</w:t>
            </w:r>
            <w:r>
              <w:rPr>
                <w:rFonts w:hint="eastAsia" w:ascii="宋体" w:hAnsi="宋体" w:eastAsia="宋体" w:cs="宋体"/>
                <w:sz w:val="24"/>
              </w:rPr>
              <w:t xml:space="preserve">：</w:t>
            </w:r>
            <w:r>
              <w:rPr>
                <w:rFonts w:hint="eastAsia" w:ascii="宋体" w:hAnsi="宋体" w:eastAsia="宋体" w:cs="Times New Roman"/>
                <w:color w:val="auto"/>
                <w:sz w:val="24"/>
                <w:u w:val="single"/>
                <w:lang w:val="en-US" w:eastAsia="zh-CN"/>
              </w:rPr>
              <w:t xml:space="preserve">       元</w:t>
            </w:r>
            <w:r>
              <w:rPr>
                <w:rFonts w:hint="eastAsia" w:ascii="宋体" w:hAnsi="宋体" w:eastAsia="宋体" w:cs="Times New Roman"/>
                <w:color w:val="auto"/>
                <w:sz w:val="24"/>
              </w:rPr>
              <w:t xml:space="preserve">（￥：</w:t>
            </w:r>
            <w:r>
              <w:rPr>
                <w:rFonts w:hint="eastAsia" w:ascii="宋体" w:hAnsi="宋体" w:eastAsia="宋体" w:cs="Times New Roman"/>
                <w:color w:val="auto"/>
                <w:sz w:val="24"/>
                <w:u w:val="single"/>
                <w:lang w:val="en-US" w:eastAsia="zh-CN"/>
              </w:rPr>
              <w:t xml:space="preserve">    </w:t>
            </w:r>
            <w:r>
              <w:rPr>
                <w:rFonts w:hint="eastAsia" w:ascii="宋体" w:hAnsi="宋体" w:eastAsia="宋体" w:cs="Times New Roman"/>
                <w:color w:val="auto"/>
                <w:sz w:val="24"/>
                <w:u w:val="single"/>
              </w:rPr>
              <w:t xml:space="preserve"> </w:t>
            </w:r>
            <w:r>
              <w:rPr>
                <w:rFonts w:hint="eastAsia" w:ascii="宋体" w:hAnsi="宋体" w:eastAsia="宋体" w:cs="Times New Roman"/>
                <w:color w:val="auto"/>
                <w:sz w:val="24"/>
                <w:lang w:val="en-US" w:eastAsia="zh-CN"/>
              </w:rPr>
              <w:t xml:space="preserve">元</w:t>
            </w:r>
            <w:r>
              <w:rPr>
                <w:rFonts w:hint="eastAsia" w:ascii="宋体" w:hAnsi="宋体" w:eastAsia="宋体" w:cs="Times New Roman"/>
                <w:color w:val="auto"/>
                <w:sz w:val="24"/>
              </w:rPr>
              <w:t xml:space="preserve">）</w:t>
            </w:r>
            <w:r>
              <w:rPr>
                <w:rFonts w:hint="eastAsia" w:ascii="宋体" w:hAnsi="宋体" w:eastAsia="宋体" w:cs="Times New Roman"/>
                <w:color w:val="auto"/>
                <w:sz w:val="24"/>
                <w:lang w:eastAsia="zh-CN"/>
              </w:rPr>
              <w:t xml:space="preserve">。</w:t>
            </w:r>
            <w:r/>
          </w:p>
        </w:tc>
      </w:tr>
      <w:tr>
        <w:trPr/>
        <w:tc>
          <w:tcPr>
            <w:gridSpan w:val="8"/>
            <w:tcBorders>
              <w:top w:val="none" w:color="000000" w:sz="4" w:space="0"/>
              <w:left w:val="single" w:color="000000" w:sz="4" w:space="0"/>
              <w:bottom w:val="single" w:color="000000" w:sz="4" w:space="0"/>
              <w:right w:val="single" w:color="000000" w:sz="4" w:space="0"/>
            </w:tcBorders>
            <w:tcW w:w="8676" w:type="dxa"/>
            <w:textDirection w:val="lrTb"/>
            <w:noWrap w:val="false"/>
          </w:tcPr>
          <w:p>
            <w:pPr>
              <w:jc w:val="both"/>
              <w:rPr>
                <w:rFonts w:hint="eastAsia" w:ascii="宋体" w:hAnsi="宋体" w:eastAsia="宋体" w:cs="宋体"/>
              </w:rPr>
            </w:pPr>
            <w:r>
              <w:rPr>
                <w:rFonts w:hint="eastAsia" w:ascii="宋体" w:hAnsi="宋体" w:eastAsia="宋体" w:cs="宋体"/>
                <w:sz w:val="24"/>
              </w:rPr>
              <w:t xml:space="preserve">交</w:t>
            </w:r>
            <w:r>
              <w:rPr>
                <w:rFonts w:hint="eastAsia" w:ascii="宋体" w:hAnsi="宋体" w:eastAsia="宋体" w:cs="宋体"/>
                <w:sz w:val="24"/>
                <w:lang w:eastAsia="zh-CN"/>
              </w:rPr>
              <w:t xml:space="preserve">付</w:t>
            </w:r>
            <w:r>
              <w:rPr>
                <w:rFonts w:hint="eastAsia" w:ascii="宋体" w:hAnsi="宋体" w:eastAsia="宋体" w:cs="宋体"/>
                <w:sz w:val="24"/>
              </w:rPr>
              <w:t xml:space="preserve">时间：采购合同签订后</w:t>
            </w:r>
            <w:r>
              <w:rPr>
                <w:rFonts w:hint="eastAsia" w:ascii="宋体" w:hAnsi="宋体" w:eastAsia="宋体" w:cs="宋体"/>
                <w:sz w:val="21"/>
                <w:u w:val="single"/>
              </w:rPr>
              <w:t xml:space="preserve"> </w:t>
            </w:r>
            <w:r>
              <w:rPr>
                <w:rFonts w:hint="eastAsia" w:ascii="宋体" w:hAnsi="宋体" w:eastAsia="宋体" w:cs="宋体"/>
                <w:sz w:val="21"/>
                <w:u w:val="single"/>
                <w:lang w:val="en-US" w:eastAsia="zh-CN"/>
              </w:rPr>
              <w:t xml:space="preserve">   </w:t>
            </w:r>
            <w:r>
              <w:rPr>
                <w:rFonts w:hint="eastAsia" w:ascii="宋体" w:hAnsi="宋体" w:eastAsia="宋体" w:cs="宋体"/>
                <w:sz w:val="21"/>
                <w:u w:val="single"/>
              </w:rPr>
              <w:t xml:space="preserve"> </w:t>
            </w:r>
            <w:r>
              <w:rPr>
                <w:rFonts w:hint="eastAsia" w:ascii="宋体" w:hAnsi="宋体" w:eastAsia="宋体" w:cs="宋体"/>
                <w:sz w:val="21"/>
                <w:u w:val="single"/>
                <w:lang w:val="en-US" w:eastAsia="zh-CN"/>
              </w:rPr>
              <w:t xml:space="preserve"> </w:t>
            </w:r>
            <w:r>
              <w:rPr>
                <w:rFonts w:hint="eastAsia" w:ascii="宋体" w:hAnsi="宋体" w:eastAsia="宋体" w:cs="宋体"/>
                <w:sz w:val="24"/>
              </w:rPr>
              <w:t xml:space="preserve">天内</w:t>
            </w:r>
            <w:r>
              <w:rPr>
                <w:rFonts w:hint="eastAsia" w:ascii="宋体" w:hAnsi="宋体" w:eastAsia="宋体" w:cs="宋体"/>
                <w:color w:val="auto"/>
                <w:sz w:val="24"/>
              </w:rPr>
              <w:t xml:space="preserve">全部交</w:t>
            </w:r>
            <w:r>
              <w:rPr>
                <w:rFonts w:hint="eastAsia" w:ascii="宋体" w:hAnsi="宋体" w:eastAsia="宋体" w:cs="宋体"/>
                <w:color w:val="auto"/>
                <w:sz w:val="24"/>
                <w:lang w:eastAsia="zh-CN"/>
              </w:rPr>
              <w:t xml:space="preserve">付</w:t>
            </w:r>
            <w:r>
              <w:rPr>
                <w:rFonts w:hint="eastAsia" w:ascii="宋体" w:hAnsi="宋体" w:eastAsia="宋体" w:cs="宋体"/>
                <w:color w:val="auto"/>
                <w:sz w:val="24"/>
              </w:rPr>
              <w:t xml:space="preserve">并安装调试完毕。</w:t>
            </w:r>
            <w:r/>
          </w:p>
        </w:tc>
      </w:tr>
      <w:tr>
        <w:trPr/>
        <w:tc>
          <w:tcPr>
            <w:gridSpan w:val="8"/>
            <w:tcBorders>
              <w:top w:val="none" w:color="000000" w:sz="4" w:space="0"/>
              <w:left w:val="single" w:color="000000" w:sz="4" w:space="0"/>
              <w:bottom w:val="single" w:color="000000" w:sz="4" w:space="0"/>
              <w:right w:val="single" w:color="000000" w:sz="4" w:space="0"/>
            </w:tcBorders>
            <w:tcW w:w="8676" w:type="dxa"/>
            <w:textDirection w:val="lrTb"/>
            <w:noWrap w:val="false"/>
          </w:tcPr>
          <w:p>
            <w:pPr>
              <w:jc w:val="both"/>
              <w:rPr>
                <w:rFonts w:hint="eastAsia" w:ascii="宋体" w:hAnsi="宋体" w:eastAsia="宋体" w:cs="宋体"/>
                <w:sz w:val="24"/>
              </w:rPr>
            </w:pPr>
            <w:r>
              <w:rPr>
                <w:rFonts w:hint="eastAsia" w:ascii="宋体" w:hAnsi="宋体" w:eastAsia="宋体" w:cs="宋体"/>
                <w:color w:val="auto"/>
                <w:sz w:val="24"/>
              </w:rPr>
              <w:t xml:space="preserve">交</w:t>
            </w:r>
            <w:r>
              <w:rPr>
                <w:rFonts w:hint="eastAsia" w:ascii="宋体" w:hAnsi="宋体" w:eastAsia="宋体" w:cs="宋体"/>
                <w:color w:val="auto"/>
                <w:sz w:val="24"/>
                <w:lang w:eastAsia="zh-CN"/>
              </w:rPr>
              <w:t xml:space="preserve">付</w:t>
            </w:r>
            <w:r>
              <w:rPr>
                <w:rFonts w:hint="eastAsia" w:ascii="宋体" w:hAnsi="宋体" w:eastAsia="宋体" w:cs="宋体"/>
                <w:color w:val="auto"/>
                <w:sz w:val="24"/>
              </w:rPr>
              <w:t xml:space="preserve">地点：</w:t>
            </w:r>
            <w:r>
              <w:rPr>
                <w:rFonts w:hint="eastAsia" w:ascii="宋体" w:hAnsi="宋体" w:eastAsia="宋体" w:cs="宋体"/>
                <w:color w:val="auto"/>
                <w:sz w:val="24"/>
                <w:u w:val="single"/>
                <w:lang w:val="en-US" w:eastAsia="zh-CN"/>
              </w:rPr>
              <w:t xml:space="preserve">甲方指定地点</w:t>
            </w:r>
            <w:r>
              <w:rPr>
                <w:rFonts w:hint="eastAsia" w:ascii="宋体" w:hAnsi="宋体" w:eastAsia="宋体" w:cs="宋体"/>
                <w:color w:val="auto"/>
                <w:sz w:val="24"/>
              </w:rPr>
              <w:t xml:space="preserve">。</w:t>
            </w:r>
            <w:r/>
          </w:p>
        </w:tc>
      </w:tr>
      <w:tr>
        <w:trPr/>
        <w:tc>
          <w:tcPr>
            <w:gridSpan w:val="8"/>
            <w:tcBorders>
              <w:top w:val="none" w:color="000000" w:sz="4" w:space="0"/>
              <w:left w:val="single" w:color="000000" w:sz="4" w:space="0"/>
              <w:bottom w:val="single" w:color="000000" w:sz="4" w:space="0"/>
              <w:right w:val="single" w:color="000000" w:sz="4" w:space="0"/>
            </w:tcBorders>
            <w:tcW w:w="8676" w:type="dxa"/>
            <w:textDirection w:val="lrTb"/>
            <w:noWrap w:val="false"/>
          </w:tcPr>
          <w:p>
            <w:pPr>
              <w:jc w:val="both"/>
              <w:rPr>
                <w:rFonts w:hint="eastAsia" w:ascii="宋体" w:hAnsi="宋体" w:eastAsia="宋体" w:cs="宋体"/>
              </w:rPr>
            </w:pPr>
            <w:r>
              <w:rPr>
                <w:rFonts w:hint="eastAsia" w:ascii="宋体" w:hAnsi="宋体" w:eastAsia="宋体" w:cs="宋体"/>
                <w:sz w:val="24"/>
              </w:rPr>
              <w:t xml:space="preserve">乙方联系人：</w:t>
            </w:r>
            <w:r>
              <w:rPr>
                <w:rFonts w:hint="eastAsia" w:ascii="宋体" w:hAnsi="宋体" w:eastAsia="宋体" w:cs="宋体"/>
                <w:sz w:val="24"/>
                <w:lang w:val="en-US" w:eastAsia="zh-CN"/>
              </w:rPr>
              <w:t xml:space="preserve"> </w:t>
            </w:r>
            <w:r/>
          </w:p>
        </w:tc>
      </w:tr>
    </w:tbl>
    <w:p>
      <w:pPr>
        <w:jc w:val="center"/>
        <w:spacing w:line="360" w:lineRule="auto"/>
        <w:widowControl/>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本项目售后及伴随服务人员一览表</w:t>
      </w:r>
      <w:r/>
    </w:p>
    <w:tbl>
      <w:tblPr>
        <w:tblStyle w:val="969"/>
        <w:tblW w:w="4933"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046"/>
        <w:gridCol w:w="1501"/>
        <w:gridCol w:w="1318"/>
        <w:gridCol w:w="1515"/>
        <w:gridCol w:w="1652"/>
        <w:gridCol w:w="679"/>
      </w:tblGrid>
      <w:tr>
        <w:trPr>
          <w:trHeight w:val="454"/>
          <w:tblHeader/>
        </w:trPr>
        <w:tc>
          <w:tcPr>
            <w:shd w:val="clear" w:color="auto" w:fill="auto"/>
            <w:tcW w:w="411" w:type="pct"/>
            <w:vAlign w:val="center"/>
            <w:textDirection w:val="lrTb"/>
            <w:noWrap w:val="false"/>
          </w:tcPr>
          <w:p>
            <w:pPr>
              <w:ind w:firstLine="2"/>
              <w:jc w:val="center"/>
              <w:rPr>
                <w:rFonts w:hint="eastAsia" w:ascii="黑体" w:hAnsi="黑体" w:eastAsia="黑体" w:cs="黑体"/>
                <w:color w:val="auto"/>
                <w:sz w:val="21"/>
                <w:szCs w:val="21"/>
              </w:rPr>
            </w:pPr>
            <w:r>
              <w:rPr>
                <w:rFonts w:hint="eastAsia" w:ascii="黑体" w:hAnsi="黑体" w:eastAsia="黑体" w:cs="黑体"/>
                <w:color w:val="auto"/>
                <w:sz w:val="21"/>
                <w:szCs w:val="21"/>
              </w:rPr>
              <w:t xml:space="preserve">序号</w:t>
            </w:r>
            <w:r/>
          </w:p>
        </w:tc>
        <w:tc>
          <w:tcPr>
            <w:shd w:val="clear" w:color="auto" w:fill="auto"/>
            <w:tcW w:w="622" w:type="pct"/>
            <w:vAlign w:val="center"/>
            <w:textDirection w:val="lrTb"/>
            <w:noWrap w:val="false"/>
          </w:tcPr>
          <w:p>
            <w:pPr>
              <w:ind w:firstLine="2"/>
              <w:jc w:val="center"/>
              <w:rPr>
                <w:rFonts w:hint="eastAsia" w:ascii="黑体" w:hAnsi="黑体" w:eastAsia="黑体" w:cs="黑体"/>
                <w:color w:val="auto"/>
                <w:sz w:val="21"/>
                <w:szCs w:val="21"/>
              </w:rPr>
            </w:pPr>
            <w:r>
              <w:rPr>
                <w:rFonts w:hint="eastAsia" w:ascii="黑体" w:hAnsi="黑体" w:eastAsia="黑体" w:cs="黑体"/>
                <w:color w:val="auto"/>
                <w:sz w:val="21"/>
                <w:szCs w:val="21"/>
              </w:rPr>
              <w:t xml:space="preserve">姓名</w:t>
            </w:r>
            <w:r/>
          </w:p>
        </w:tc>
        <w:tc>
          <w:tcPr>
            <w:shd w:val="clear" w:color="auto" w:fill="auto"/>
            <w:tcW w:w="893" w:type="pct"/>
            <w:vAlign w:val="center"/>
            <w:textDirection w:val="lrTb"/>
            <w:noWrap w:val="false"/>
          </w:tcPr>
          <w:p>
            <w:pPr>
              <w:ind w:firstLine="2"/>
              <w:jc w:val="center"/>
              <w:rPr>
                <w:rFonts w:hint="eastAsia" w:ascii="黑体" w:hAnsi="黑体" w:eastAsia="黑体" w:cs="黑体"/>
                <w:color w:val="auto"/>
                <w:sz w:val="21"/>
                <w:szCs w:val="21"/>
                <w:lang w:eastAsia="zh-CN"/>
              </w:rPr>
            </w:pPr>
            <w:r>
              <w:rPr>
                <w:rFonts w:hint="eastAsia" w:ascii="黑体" w:hAnsi="黑体" w:eastAsia="黑体" w:cs="黑体"/>
                <w:color w:val="auto"/>
                <w:sz w:val="21"/>
                <w:szCs w:val="21"/>
              </w:rPr>
              <w:t xml:space="preserve">职</w:t>
            </w:r>
            <w:r>
              <w:rPr>
                <w:rFonts w:hint="eastAsia" w:ascii="黑体" w:hAnsi="黑体" w:eastAsia="黑体" w:cs="黑体"/>
                <w:color w:val="auto"/>
                <w:sz w:val="21"/>
                <w:szCs w:val="21"/>
                <w:lang w:eastAsia="zh-CN"/>
              </w:rPr>
              <w:t xml:space="preserve">务（职责）</w:t>
            </w:r>
            <w:r/>
          </w:p>
        </w:tc>
        <w:tc>
          <w:tcPr>
            <w:shd w:val="clear" w:color="auto" w:fill="auto"/>
            <w:tcW w:w="784" w:type="pct"/>
            <w:vAlign w:val="center"/>
            <w:textDirection w:val="lrTb"/>
            <w:noWrap w:val="false"/>
          </w:tcPr>
          <w:p>
            <w:pPr>
              <w:ind w:firstLine="2"/>
              <w:jc w:val="center"/>
              <w:rPr>
                <w:rFonts w:hint="eastAsia" w:ascii="黑体" w:hAnsi="黑体" w:eastAsia="黑体" w:cs="黑体"/>
                <w:color w:val="auto"/>
                <w:sz w:val="21"/>
                <w:szCs w:val="21"/>
              </w:rPr>
            </w:pPr>
            <w:r>
              <w:rPr>
                <w:rFonts w:hint="eastAsia" w:ascii="黑体" w:hAnsi="黑体" w:eastAsia="黑体" w:cs="黑体"/>
                <w:color w:val="auto"/>
                <w:sz w:val="21"/>
                <w:szCs w:val="21"/>
              </w:rPr>
              <w:t xml:space="preserve">专业</w:t>
            </w:r>
            <w:r/>
          </w:p>
        </w:tc>
        <w:tc>
          <w:tcPr>
            <w:shd w:val="clear" w:color="auto" w:fill="auto"/>
            <w:tcW w:w="901" w:type="pct"/>
            <w:vAlign w:val="center"/>
            <w:textDirection w:val="lrTb"/>
            <w:noWrap w:val="false"/>
          </w:tcPr>
          <w:p>
            <w:pPr>
              <w:ind w:firstLine="2"/>
              <w:jc w:val="center"/>
              <w:rPr>
                <w:rFonts w:hint="eastAsia" w:ascii="黑体" w:hAnsi="黑体" w:eastAsia="黑体" w:cs="黑体"/>
                <w:color w:val="auto"/>
                <w:sz w:val="21"/>
                <w:szCs w:val="21"/>
              </w:rPr>
            </w:pPr>
            <w:r>
              <w:rPr>
                <w:rFonts w:hint="eastAsia" w:ascii="黑体" w:hAnsi="黑体" w:eastAsia="黑体" w:cs="黑体"/>
                <w:color w:val="auto"/>
                <w:sz w:val="21"/>
                <w:szCs w:val="21"/>
              </w:rPr>
              <w:t xml:space="preserve">职称</w:t>
            </w:r>
            <w:r/>
          </w:p>
        </w:tc>
        <w:tc>
          <w:tcPr>
            <w:shd w:val="clear" w:color="auto" w:fill="auto"/>
            <w:tcW w:w="983" w:type="pct"/>
            <w:vAlign w:val="center"/>
            <w:textDirection w:val="lrTb"/>
            <w:noWrap w:val="false"/>
          </w:tcPr>
          <w:p>
            <w:pPr>
              <w:ind w:firstLine="2"/>
              <w:jc w:val="center"/>
              <w:rPr>
                <w:rFonts w:hint="eastAsia" w:ascii="黑体" w:hAnsi="黑体" w:eastAsia="黑体" w:cs="黑体"/>
                <w:color w:val="auto"/>
                <w:sz w:val="21"/>
                <w:szCs w:val="21"/>
              </w:rPr>
            </w:pPr>
            <w:r>
              <w:rPr>
                <w:rFonts w:hint="eastAsia" w:ascii="黑体" w:hAnsi="黑体" w:eastAsia="黑体" w:cs="黑体"/>
                <w:color w:val="auto"/>
                <w:sz w:val="21"/>
                <w:szCs w:val="21"/>
              </w:rPr>
              <w:t xml:space="preserve">证书</w:t>
            </w:r>
            <w:r/>
          </w:p>
        </w:tc>
        <w:tc>
          <w:tcPr>
            <w:shd w:val="clear" w:color="auto" w:fill="auto"/>
            <w:tcW w:w="404" w:type="pct"/>
            <w:vAlign w:val="center"/>
            <w:textDirection w:val="lrTb"/>
            <w:noWrap w:val="false"/>
          </w:tcPr>
          <w:p>
            <w:pPr>
              <w:ind w:firstLine="2"/>
              <w:jc w:val="center"/>
              <w:rPr>
                <w:rFonts w:hint="eastAsia" w:ascii="黑体" w:hAnsi="黑体" w:eastAsia="黑体" w:cs="黑体"/>
                <w:color w:val="auto"/>
                <w:sz w:val="21"/>
                <w:szCs w:val="21"/>
              </w:rPr>
            </w:pPr>
            <w:r>
              <w:rPr>
                <w:rFonts w:hint="eastAsia" w:ascii="黑体" w:hAnsi="黑体" w:eastAsia="黑体" w:cs="黑体"/>
                <w:color w:val="auto"/>
                <w:sz w:val="21"/>
                <w:szCs w:val="21"/>
              </w:rPr>
              <w:t xml:space="preserve">备注</w:t>
            </w:r>
            <w:r/>
          </w:p>
        </w:tc>
      </w:tr>
      <w:tr>
        <w:trPr>
          <w:trHeight w:val="340"/>
        </w:trPr>
        <w:tc>
          <w:tcPr>
            <w:tcW w:w="411"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w:t>
            </w:r>
            <w:r/>
          </w:p>
        </w:tc>
        <w:tc>
          <w:tcPr>
            <w:tcW w:w="622"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9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84"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01"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8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404"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340"/>
        </w:trPr>
        <w:tc>
          <w:tcPr>
            <w:tcW w:w="411"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w:t>
            </w:r>
            <w:r/>
          </w:p>
        </w:tc>
        <w:tc>
          <w:tcPr>
            <w:tcW w:w="622"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9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84"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01"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8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404"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340"/>
        </w:trPr>
        <w:tc>
          <w:tcPr>
            <w:tcW w:w="411"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w:t>
            </w:r>
            <w:r/>
          </w:p>
        </w:tc>
        <w:tc>
          <w:tcPr>
            <w:tcW w:w="622"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9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84"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01"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8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404"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340"/>
        </w:trPr>
        <w:tc>
          <w:tcPr>
            <w:tcW w:w="411"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w:t>
            </w:r>
            <w:r/>
          </w:p>
        </w:tc>
        <w:tc>
          <w:tcPr>
            <w:tcW w:w="622"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9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84"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01"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8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404" w:type="pct"/>
            <w:vAlign w:val="center"/>
            <w:textDirection w:val="lrTb"/>
            <w:noWrap w:val="false"/>
          </w:tcPr>
          <w:p>
            <w:pPr>
              <w:jc w:val="both"/>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340"/>
        </w:trPr>
        <w:tc>
          <w:tcPr>
            <w:tcW w:w="411"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5</w:t>
            </w:r>
            <w:r/>
          </w:p>
        </w:tc>
        <w:tc>
          <w:tcPr>
            <w:tcW w:w="622"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9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84"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01"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8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404" w:type="pct"/>
            <w:vAlign w:val="center"/>
            <w:textDirection w:val="lrTb"/>
            <w:noWrap w:val="false"/>
          </w:tcPr>
          <w:p>
            <w:pPr>
              <w:jc w:val="both"/>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340"/>
        </w:trPr>
        <w:tc>
          <w:tcPr>
            <w:tcW w:w="411" w:type="pct"/>
            <w:vAlign w:val="center"/>
            <w:textDirection w:val="lrTb"/>
            <w:noWrap w:val="false"/>
          </w:tcPr>
          <w:p>
            <w:pPr>
              <w:jc w:val="center"/>
              <w:widowControl w:val="off"/>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6</w:t>
            </w:r>
            <w:r/>
          </w:p>
        </w:tc>
        <w:tc>
          <w:tcPr>
            <w:tcW w:w="622"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9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84"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01"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983" w:type="pct"/>
            <w:vAlign w:val="center"/>
            <w:textDirection w:val="lrTb"/>
            <w:noWrap w:val="false"/>
          </w:tcPr>
          <w:p>
            <w:pPr>
              <w:jc w:val="center"/>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404" w:type="pct"/>
            <w:vAlign w:val="center"/>
            <w:textDirection w:val="lrTb"/>
            <w:noWrap w:val="false"/>
          </w:tcPr>
          <w:p>
            <w:pPr>
              <w:jc w:val="both"/>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bl>
    <w:p>
      <w:pPr>
        <w:ind w:left="0" w:firstLine="480"/>
        <w:keepLines w:val="0"/>
        <w:keepNext w:val="0"/>
        <w:pageBreakBefore w:val="0"/>
        <w:spacing w:line="288" w:lineRule="auto"/>
        <w:widowControl w:val="off"/>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lang w:val="en-US" w:eastAsia="zh-CN"/>
        </w:rPr>
        <w:t xml:space="preserve">二、</w:t>
      </w:r>
      <w:r>
        <w:rPr>
          <w:rFonts w:hint="eastAsia" w:ascii="黑体" w:hAnsi="黑体" w:eastAsia="黑体" w:cs="黑体"/>
          <w:color w:val="auto"/>
          <w:sz w:val="24"/>
          <w:highlight w:val="none"/>
          <w:lang w:eastAsia="zh-CN"/>
        </w:rPr>
        <w:t xml:space="preserve">付款方式</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 xml:space="preserve">本合同总金额为人民币大写金额</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eastAsia="zh-CN"/>
        </w:rPr>
        <w:t xml:space="preserve">元（小写金额：</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eastAsia="zh-CN"/>
        </w:rPr>
        <w:t xml:space="preserve">元），经双方协商一致，选择以下第</w:t>
      </w:r>
      <w:r>
        <w:rPr>
          <w:rFonts w:hint="eastAsia" w:ascii="Times New Roman" w:hAnsi="Times New Roman" w:eastAsia="宋体" w:cs="Times New Roman"/>
          <w:color w:val="auto"/>
          <w:sz w:val="24"/>
          <w:highlight w:val="none"/>
          <w:u w:val="single"/>
          <w:lang w:eastAsia="zh-CN"/>
        </w:rPr>
        <w:t xml:space="preserve">  </w:t>
      </w:r>
      <w:r>
        <w:rPr>
          <w:rFonts w:hint="eastAsia" w:cs="Times New Roman"/>
          <w:color w:val="auto"/>
          <w:sz w:val="24"/>
          <w:highlight w:val="none"/>
          <w:u w:val="single"/>
          <w:lang w:val="en-US" w:eastAsia="zh-CN"/>
        </w:rPr>
        <w:t xml:space="preserve">    </w:t>
      </w:r>
      <w:r>
        <w:rPr>
          <w:rFonts w:hint="eastAsia" w:ascii="Times New Roman" w:hAnsi="Times New Roman"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eastAsia="zh-CN"/>
        </w:rPr>
        <w:t xml:space="preserve">种付款方式：</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 xml:space="preserve">（一）付款方式（提交预付款保函的）</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合同价款的百分之五十(50%)即￥</w:t>
      </w:r>
      <w:r>
        <w:rPr>
          <w:rFonts w:hint="eastAsia" w:ascii="Times New Roman" w:hAnsi="Times New Roman" w:eastAsia="宋体" w:cs="Times New Roman"/>
          <w:color w:val="auto"/>
          <w:sz w:val="24"/>
          <w:highlight w:val="none"/>
          <w:u w:val="single"/>
          <w:lang w:eastAsia="zh-CN"/>
        </w:rPr>
        <w:t xml:space="preserve">  </w:t>
      </w:r>
      <w:r>
        <w:rPr>
          <w:rFonts w:hint="eastAsia"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，大写：人民币</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元整，在双方签订合同后所有仪器设备安装、调试、培训且试运行3个月后，买方收到乙方正式发票15日内办理政府采购资金结算手续支付给乙方。</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合同总价的百分之</w:t>
      </w:r>
      <w:r>
        <w:rPr>
          <w:rFonts w:hint="eastAsia" w:cs="Times New Roman"/>
          <w:color w:val="auto"/>
          <w:sz w:val="24"/>
          <w:highlight w:val="none"/>
          <w:lang w:val="en-US" w:eastAsia="zh-CN"/>
        </w:rPr>
        <w:t xml:space="preserve">三</w:t>
      </w:r>
      <w:r>
        <w:rPr>
          <w:rFonts w:hint="eastAsia" w:ascii="Times New Roman" w:hAnsi="Times New Roman" w:eastAsia="宋体" w:cs="Times New Roman"/>
          <w:color w:val="auto"/>
          <w:sz w:val="24"/>
          <w:highlight w:val="none"/>
          <w:lang w:val="en-US" w:eastAsia="zh-CN"/>
        </w:rPr>
        <w:t xml:space="preserve">十 (</w:t>
      </w:r>
      <w:r>
        <w:rPr>
          <w:rFonts w:hint="eastAsia"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lang w:val="en-US" w:eastAsia="zh-CN"/>
        </w:rPr>
        <w:t xml:space="preserve">0%)即￥</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，大写：人民币</w:t>
      </w:r>
      <w:r>
        <w:rPr>
          <w:rFonts w:hint="eastAsia" w:ascii="Times New Roman" w:hAnsi="Times New Roman" w:eastAsia="宋体" w:cs="Times New Roman"/>
          <w:color w:val="auto"/>
          <w:sz w:val="24"/>
          <w:highlight w:val="none"/>
          <w:u w:val="single"/>
          <w:lang w:eastAsia="zh-CN"/>
        </w:rPr>
        <w:t xml:space="preserve">   </w:t>
      </w:r>
      <w:r>
        <w:rPr>
          <w:rFonts w:hint="eastAsia"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元整，</w:t>
      </w:r>
      <w:r>
        <w:rPr>
          <w:rFonts w:hint="eastAsia" w:cs="Times New Roman"/>
          <w:color w:val="auto"/>
          <w:sz w:val="24"/>
          <w:highlight w:val="none"/>
          <w:lang w:val="en-US" w:eastAsia="zh-CN"/>
        </w:rPr>
        <w:t xml:space="preserve">第一年服务期结束后</w:t>
      </w:r>
      <w:r>
        <w:rPr>
          <w:rFonts w:hint="eastAsia" w:ascii="Times New Roman" w:hAnsi="Times New Roman" w:eastAsia="宋体" w:cs="Times New Roman"/>
          <w:color w:val="auto"/>
          <w:sz w:val="24"/>
          <w:highlight w:val="none"/>
          <w:lang w:val="en-US" w:eastAsia="zh-CN"/>
        </w:rPr>
        <w:t xml:space="preserve">，买方收到正式票据后15天内，由买方办理政府采购资金结算手续，经审核后支付给卖方。</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合同总价的百分之</w:t>
      </w:r>
      <w:r>
        <w:rPr>
          <w:rFonts w:hint="eastAsia" w:cs="Times New Roman"/>
          <w:color w:val="auto"/>
          <w:sz w:val="24"/>
          <w:highlight w:val="none"/>
          <w:lang w:val="en-US" w:eastAsia="zh-CN"/>
        </w:rPr>
        <w:t xml:space="preserve">二</w:t>
      </w:r>
      <w:r>
        <w:rPr>
          <w:rFonts w:hint="eastAsia" w:ascii="Times New Roman" w:hAnsi="Times New Roman" w:eastAsia="宋体" w:cs="Times New Roman"/>
          <w:color w:val="auto"/>
          <w:sz w:val="24"/>
          <w:highlight w:val="none"/>
          <w:lang w:val="en-US" w:eastAsia="zh-CN"/>
        </w:rPr>
        <w:t xml:space="preserve">十(</w:t>
      </w:r>
      <w:r>
        <w:rPr>
          <w:rFonts w:hint="eastAsia"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lang w:val="en-US" w:eastAsia="zh-CN"/>
        </w:rPr>
        <w:t xml:space="preserve">0%)即￥</w:t>
      </w:r>
      <w:r>
        <w:rPr>
          <w:rFonts w:hint="eastAsia" w:ascii="Times New Roman" w:hAnsi="Times New Roman" w:eastAsia="宋体" w:cs="Times New Roman"/>
          <w:color w:val="auto"/>
          <w:sz w:val="24"/>
          <w:highlight w:val="none"/>
          <w:u w:val="single"/>
          <w:lang w:eastAsia="zh-CN"/>
        </w:rPr>
        <w:t xml:space="preserve">  </w:t>
      </w:r>
      <w:r>
        <w:rPr>
          <w:rFonts w:hint="eastAsia"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大写：人民币</w:t>
      </w:r>
      <w:r>
        <w:rPr>
          <w:rFonts w:hint="eastAsia" w:ascii="Times New Roman" w:hAnsi="Times New Roman" w:eastAsia="宋体" w:cs="Times New Roman"/>
          <w:color w:val="auto"/>
          <w:sz w:val="24"/>
          <w:highlight w:val="none"/>
          <w:u w:val="single"/>
          <w:lang w:eastAsia="zh-CN"/>
        </w:rPr>
        <w:t xml:space="preserve">  </w:t>
      </w:r>
      <w:r>
        <w:rPr>
          <w:rFonts w:hint="eastAsia"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元整，</w:t>
      </w:r>
      <w:r>
        <w:rPr>
          <w:rFonts w:hint="eastAsia" w:cs="Times New Roman"/>
          <w:color w:val="auto"/>
          <w:sz w:val="24"/>
          <w:highlight w:val="none"/>
          <w:lang w:val="en-US" w:eastAsia="zh-CN"/>
        </w:rPr>
        <w:t xml:space="preserve">第二年服务期结束后</w:t>
      </w:r>
      <w:r>
        <w:rPr>
          <w:rFonts w:hint="eastAsia" w:ascii="Times New Roman" w:hAnsi="Times New Roman" w:eastAsia="宋体" w:cs="Times New Roman"/>
          <w:color w:val="auto"/>
          <w:sz w:val="24"/>
          <w:highlight w:val="none"/>
          <w:lang w:val="en-US" w:eastAsia="zh-CN"/>
        </w:rPr>
        <w:t xml:space="preserve">，将资金支付到合同约定的卖方账户。</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（在签订合同时，如乙方明确表示无需预付款的，甲方可凭最终验收报告，按实际的采购数量进行结算，并一次性支付乙方服务费用。）</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卖方需提交的支付文件包括：</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卖方出具的全额正式发票；</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（二）付款方式（不提交预付款保函的）</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合同价款的百分之三十(30%)即￥</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，大写：人民币</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元整，在双方签订合同后所有仪器设备安装、调试、培训且试运行3个月后，买方收到乙方正式发票15日内办理政府采购资金结算手续支付给乙方。</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合同总价的百分之</w:t>
      </w:r>
      <w:r>
        <w:rPr>
          <w:rFonts w:hint="eastAsia" w:cs="Times New Roman"/>
          <w:color w:val="auto"/>
          <w:sz w:val="24"/>
          <w:highlight w:val="none"/>
          <w:lang w:val="en-US" w:eastAsia="zh-CN"/>
        </w:rPr>
        <w:t xml:space="preserve">五</w:t>
      </w:r>
      <w:r>
        <w:rPr>
          <w:rFonts w:hint="eastAsia" w:ascii="Times New Roman" w:hAnsi="Times New Roman" w:eastAsia="宋体" w:cs="Times New Roman"/>
          <w:color w:val="auto"/>
          <w:sz w:val="24"/>
          <w:highlight w:val="none"/>
          <w:lang w:val="en-US" w:eastAsia="zh-CN"/>
        </w:rPr>
        <w:t xml:space="preserve">十(</w:t>
      </w:r>
      <w:r>
        <w:rPr>
          <w:rFonts w:hint="eastAsia" w:cs="Times New Roman"/>
          <w:color w:val="auto"/>
          <w:sz w:val="24"/>
          <w:highlight w:val="none"/>
          <w:lang w:val="en-US" w:eastAsia="zh-CN"/>
        </w:rPr>
        <w:t xml:space="preserve">5</w:t>
      </w:r>
      <w:r>
        <w:rPr>
          <w:rFonts w:hint="eastAsia" w:ascii="Times New Roman" w:hAnsi="Times New Roman" w:eastAsia="宋体" w:cs="Times New Roman"/>
          <w:color w:val="auto"/>
          <w:sz w:val="24"/>
          <w:highlight w:val="none"/>
          <w:lang w:val="en-US" w:eastAsia="zh-CN"/>
        </w:rPr>
        <w:t xml:space="preserve">0%)即￥</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，大写：人民币</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 元整，</w:t>
      </w:r>
      <w:r>
        <w:rPr>
          <w:rFonts w:hint="eastAsia" w:cs="Times New Roman"/>
          <w:color w:val="auto"/>
          <w:sz w:val="24"/>
          <w:highlight w:val="none"/>
          <w:lang w:val="en-US" w:eastAsia="zh-CN"/>
        </w:rPr>
        <w:t xml:space="preserve">第一年服务期结束后</w:t>
      </w:r>
      <w:r>
        <w:rPr>
          <w:rFonts w:hint="eastAsia" w:ascii="Times New Roman" w:hAnsi="Times New Roman" w:eastAsia="宋体" w:cs="Times New Roman"/>
          <w:color w:val="auto"/>
          <w:sz w:val="24"/>
          <w:highlight w:val="none"/>
          <w:lang w:val="en-US" w:eastAsia="zh-CN"/>
        </w:rPr>
        <w:t xml:space="preserve">，买方收到正式票据后15天内，由买方办理政府采购资金结算手续，经审核后支付给卖方。</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合同总价的百分之</w:t>
      </w:r>
      <w:r>
        <w:rPr>
          <w:rFonts w:hint="eastAsia" w:cs="Times New Roman"/>
          <w:color w:val="auto"/>
          <w:sz w:val="24"/>
          <w:highlight w:val="none"/>
          <w:lang w:val="en-US" w:eastAsia="zh-CN"/>
        </w:rPr>
        <w:t xml:space="preserve">二十</w:t>
      </w:r>
      <w:r>
        <w:rPr>
          <w:rFonts w:hint="eastAsia" w:ascii="Times New Roman" w:hAnsi="Times New Roman" w:eastAsia="宋体" w:cs="Times New Roman"/>
          <w:color w:val="auto"/>
          <w:sz w:val="24"/>
          <w:highlight w:val="none"/>
          <w:lang w:val="en-US" w:eastAsia="zh-CN"/>
        </w:rPr>
        <w:t xml:space="preserve">(</w:t>
      </w:r>
      <w:r>
        <w:rPr>
          <w:rFonts w:hint="eastAsia"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lang w:val="en-US" w:eastAsia="zh-CN"/>
        </w:rPr>
        <w:t xml:space="preserve">0%)即￥</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 大写：人民币</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lang w:eastAsia="zh-CN"/>
        </w:rPr>
        <w:t xml:space="preserve"> </w:t>
      </w:r>
      <w:r>
        <w:rPr>
          <w:rFonts w:hint="eastAsia" w:ascii="Times New Roman" w:hAnsi="Times New Roman" w:eastAsia="宋体" w:cs="Times New Roman"/>
          <w:color w:val="auto"/>
          <w:sz w:val="24"/>
          <w:highlight w:val="none"/>
          <w:lang w:val="en-US" w:eastAsia="zh-CN"/>
        </w:rPr>
        <w:t xml:space="preserve">元整，</w:t>
      </w:r>
      <w:r>
        <w:rPr>
          <w:rFonts w:hint="eastAsia" w:cs="Times New Roman"/>
          <w:color w:val="auto"/>
          <w:sz w:val="24"/>
          <w:highlight w:val="none"/>
          <w:lang w:val="en-US" w:eastAsia="zh-CN"/>
        </w:rPr>
        <w:t xml:space="preserve">第二年服务期结束后</w:t>
      </w:r>
      <w:r>
        <w:rPr>
          <w:rFonts w:hint="eastAsia" w:ascii="Times New Roman" w:hAnsi="Times New Roman" w:eastAsia="宋体" w:cs="Times New Roman"/>
          <w:color w:val="auto"/>
          <w:sz w:val="24"/>
          <w:highlight w:val="none"/>
          <w:lang w:val="en-US" w:eastAsia="zh-CN"/>
        </w:rPr>
        <w:t xml:space="preserve">，将资金支付到合同约定的卖方账户。</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 xml:space="preserve">（在签订合同时，如乙方明确表示无需预付款的，甲方可凭最终验收报告，按实际的采购数量进行结算，并一次性支付乙方服务费用</w:t>
      </w:r>
      <w:r>
        <w:rPr>
          <w:rFonts w:hint="eastAsia" w:cs="Times New Roman"/>
          <w:color w:val="auto"/>
          <w:sz w:val="24"/>
          <w:lang w:val="en-US" w:eastAsia="zh-CN"/>
        </w:rPr>
        <w:t xml:space="preserve">。</w:t>
      </w:r>
      <w:r>
        <w:rPr>
          <w:rFonts w:hint="eastAsia" w:ascii="Times New Roman" w:hAnsi="Times New Roman" w:eastAsia="宋体" w:cs="Times New Roman"/>
          <w:color w:val="auto"/>
          <w:sz w:val="24"/>
          <w:lang w:val="en-US" w:eastAsia="zh-CN"/>
        </w:rPr>
        <w:t xml:space="preserve">）</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乙方需提交的支付文件包括：</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①乙方开具的等额正式发票（增值税专用发票）；</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②双方出具的验收合格证明。</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以上合同总金额为含税包干总价，该包干总价为乙方按照合同约定完成合同全部义务、工作所适用的总价格，是设计、制造、包装、仓储、运输、安装、调试、保险及提供售后服务、伴随服务发生的所有含税费用，包括但不限于人工、材料、机械、差旅、采样、检测、编制、评审、管理、利润、规费、税金等费用。上述合同价款等各项内容在本合同履行过程中保持不变。甲方无需支付任何额外费用和承担任何额外义务。</w:t>
      </w:r>
      <w:r/>
    </w:p>
    <w:p>
      <w:pPr>
        <w:ind w:left="0" w:firstLine="480"/>
        <w:keepLines w:val="0"/>
        <w:keepNext w:val="0"/>
        <w:pageBreakBefore w:val="0"/>
        <w:spacing w:line="288" w:lineRule="auto"/>
        <w:widowControl w:val="off"/>
        <w:rPr>
          <w:rFonts w:hint="eastAsia" w:ascii="黑体" w:hAnsi="黑体" w:eastAsia="黑体" w:cs="黑体"/>
          <w:color w:val="auto"/>
          <w:sz w:val="24"/>
          <w:lang w:val="en-US" w:eastAsia="zh-CN"/>
        </w:rPr>
      </w:pPr>
      <w:r>
        <w:rPr>
          <w:rFonts w:hint="eastAsia" w:ascii="黑体" w:hAnsi="黑体" w:eastAsia="黑体" w:cs="黑体"/>
          <w:color w:val="auto"/>
          <w:sz w:val="24"/>
          <w:lang w:val="en-US" w:eastAsia="zh-CN"/>
        </w:rPr>
        <w:t xml:space="preserve">三、标的物运输、安装、调试</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乙方负责标的物运输、安装、调试，应当在合同签订后</w:t>
      </w:r>
      <w:r>
        <w:rPr>
          <w:rFonts w:hint="eastAsia" w:ascii="Times New Roman" w:hAnsi="Times New Roman" w:eastAsia="宋体" w:cs="Times New Roman"/>
          <w:color w:val="auto"/>
          <w:sz w:val="24"/>
          <w:u w:val="single"/>
          <w:lang w:eastAsia="zh-CN"/>
        </w:rPr>
        <w:t xml:space="preserve">  </w:t>
      </w:r>
      <w:r>
        <w:rPr>
          <w:rFonts w:hint="eastAsia"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lang w:eastAsia="zh-CN"/>
        </w:rPr>
        <w:t xml:space="preserve">天内，按照甲方指定地点，将货物安装调试完毕交付甲方正常使用，一切费用由乙方负责。</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提供的全部货物均应按标准保护措施进行包装，该包装应适应远距离运输，应有良好的防潮、防震、防锈、防雨、防腐、防碰撞和防野蛮装卸措施，以确保货物安全无损运抵指定现场。安装后，废弃包装由乙方及时清理，不得造成环境污染。凡由于包装不善所引起的货物锈蚀、损坏，及废弃包装未妥善清理处置所造成的损失和由此产生的费用均由乙方承担。每件包装箱内应附一份详细装箱单和质量合格标识。乙方安装时须对安装场地内的其他设备、设施有良好保护措施。</w:t>
      </w:r>
      <w:r/>
    </w:p>
    <w:p>
      <w:pPr>
        <w:ind w:left="0" w:firstLine="480"/>
        <w:keepLines w:val="0"/>
        <w:keepNext w:val="0"/>
        <w:pageBreakBefore w:val="0"/>
        <w:spacing w:line="288" w:lineRule="auto"/>
        <w:widowControl w:val="off"/>
        <w:rPr>
          <w:rFonts w:hint="eastAsia" w:ascii="黑体" w:hAnsi="黑体" w:eastAsia="黑体" w:cs="黑体"/>
          <w:color w:val="auto"/>
          <w:sz w:val="24"/>
          <w:lang w:val="en-US" w:eastAsia="zh-CN"/>
        </w:rPr>
      </w:pPr>
      <w:r>
        <w:rPr>
          <w:rFonts w:hint="eastAsia" w:ascii="黑体" w:hAnsi="黑体" w:eastAsia="黑体" w:cs="黑体"/>
          <w:color w:val="auto"/>
          <w:sz w:val="24"/>
          <w:lang w:val="en-US" w:eastAsia="zh-CN"/>
        </w:rPr>
        <w:t xml:space="preserve">四、标的物的验收、交付</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乙方应在规定的时间内完成安装调试，并在试机完毕后的</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3</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lang w:eastAsia="zh-CN"/>
        </w:rPr>
        <w:t xml:space="preserve">个工作日内通知甲方进行质量验收，验收应在甲乙双方共同参加下进行。在双方共同验收前，乙方应先行自验，并提交加盖公章的自验合格报告。自验、验收按国家有关的规定规范、行业通行标准、采购文件要求、厂方出厂标准和乙方投标文件的承诺进行。验收合格后，由双方签署验收证明并加盖单位公章。</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交付的设备等应当完全符合国家有关规范标准和环保要求，符合本合同及招投标文件所规定的货物、数量和规格要求及运行状态，并提供设备的厂试测验报告。验收时如发现所交付的设备有短装、次品、损坏或安装调试不合格及其它不符合本合同规定之情形的，甲方应作出相应现场记录，或由甲乙双方签署备忘录。乙方应在</w:t>
      </w:r>
      <w:r>
        <w:rPr>
          <w:rFonts w:hint="eastAsia" w:ascii="Times New Roman" w:hAnsi="Times New Roman" w:eastAsia="宋体" w:cs="Times New Roman"/>
          <w:color w:val="auto"/>
          <w:sz w:val="24"/>
          <w:lang w:val="en-US" w:eastAsia="zh-CN"/>
        </w:rPr>
        <w:t xml:space="preserve">3</w:t>
      </w:r>
      <w:r>
        <w:rPr>
          <w:rFonts w:hint="eastAsia" w:ascii="Times New Roman" w:hAnsi="Times New Roman" w:eastAsia="宋体" w:cs="Times New Roman"/>
          <w:color w:val="auto"/>
          <w:sz w:val="24"/>
          <w:lang w:eastAsia="zh-CN"/>
        </w:rPr>
        <w:t xml:space="preserve">天内安排补换货、二次安装调试及二次自验，由此产生的有关费用由乙方承担。</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相关设备需提供质检部门出具的计量检定报告或校准报告的，乙方应在验收时提供。乙方应将所提供设备的装箱清单、用户手册、制造厂家出具的质量检验证书、原厂保修卡、随机资料及配件、随机工具等同步交付给甲方。设备在验收合格交付甲方前，货物零部件及整机的安全及完好性由乙方负责；乙方投标报价中已含保护保管费用。</w:t>
      </w:r>
      <w:r/>
    </w:p>
    <w:p>
      <w:pPr>
        <w:ind w:left="0" w:firstLine="480"/>
        <w:keepLines w:val="0"/>
        <w:keepNext w:val="0"/>
        <w:pageBreakBefore w:val="0"/>
        <w:spacing w:line="288" w:lineRule="auto"/>
        <w:widowControl w:val="off"/>
        <w:rPr>
          <w:rFonts w:hint="eastAsia" w:ascii="黑体" w:hAnsi="黑体" w:eastAsia="黑体" w:cs="黑体"/>
          <w:color w:val="auto"/>
          <w:sz w:val="24"/>
          <w:lang w:val="en-US" w:eastAsia="zh-CN"/>
        </w:rPr>
      </w:pPr>
      <w:r>
        <w:rPr>
          <w:rFonts w:hint="eastAsia" w:ascii="黑体" w:hAnsi="黑体" w:eastAsia="黑体" w:cs="黑体"/>
          <w:color w:val="auto"/>
          <w:sz w:val="24"/>
          <w:lang w:val="en-US" w:eastAsia="zh-CN"/>
        </w:rPr>
        <w:t xml:space="preserve">五、售后服务</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乙方对产品质量实行三包，合同设备保修期为整机免费原厂保修</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lang w:eastAsia="zh-CN"/>
        </w:rPr>
        <w:t xml:space="preserve">年（包含维护、保养、所有零配件等），自设备验收合格之日起一个月后起保（即以《设备验收表》中使用科室负责人及分管领导确认签名之日起一个月后起保）。</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乙方应在项目所在地有稳定的售后服务机构，并配备充足的技术服务人员提供技术支持。</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乙方每季度对标的物进行一次的例行巡检，并向甲方提供巡检报告。</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对于设备发生的故障，乙方应在接甲方设备故障报修通知后</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1</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lang w:eastAsia="zh-CN"/>
        </w:rPr>
        <w:t xml:space="preserve">小时内响应，</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4</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lang w:eastAsia="zh-CN"/>
        </w:rPr>
        <w:t xml:space="preserve">小时内到达现场，</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48</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lang w:eastAsia="zh-CN"/>
        </w:rPr>
        <w:t xml:space="preserve">小时内处理完毕。质保期内由此引起的一切费用由乙方承担，质保期满后乙方收取成本费。</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质保期内，发现货物是有缺陷的（包括潜在缺陷或使用不符合要求的材料），及其它不符合本合同规定之情形的，甲方应作出相应现场记录，或由甲乙双方签署备忘录。乙方在</w:t>
      </w:r>
      <w:r>
        <w:rPr>
          <w:rFonts w:hint="eastAsia" w:ascii="Times New Roman" w:hAnsi="Times New Roman" w:eastAsia="宋体" w:cs="Times New Roman"/>
          <w:color w:val="auto"/>
          <w:sz w:val="24"/>
          <w:u w:val="single"/>
          <w:lang w:val="en-US" w:eastAsia="zh-CN"/>
        </w:rPr>
        <w:t xml:space="preserve">  48  </w:t>
      </w:r>
      <w:r>
        <w:rPr>
          <w:rFonts w:hint="eastAsia" w:ascii="Times New Roman" w:hAnsi="Times New Roman" w:eastAsia="宋体" w:cs="Times New Roman"/>
          <w:color w:val="auto"/>
          <w:sz w:val="24"/>
          <w:lang w:eastAsia="zh-CN"/>
        </w:rPr>
        <w:t xml:space="preserve">小时内处理完毕，由此引起的一切费用由乙方承担。</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质保期内，如出现严重质量问题，</w:t>
      </w:r>
      <w:r>
        <w:rPr>
          <w:rFonts w:hint="eastAsia" w:ascii="Times New Roman" w:hAnsi="Times New Roman" w:eastAsia="宋体" w:cs="Times New Roman"/>
          <w:color w:val="auto"/>
          <w:sz w:val="24"/>
          <w:u w:val="single"/>
          <w:lang w:val="en-US" w:eastAsia="zh-CN"/>
        </w:rPr>
        <w:t xml:space="preserve">  12  </w:t>
      </w:r>
      <w:r>
        <w:rPr>
          <w:rFonts w:hint="eastAsia" w:ascii="Times New Roman" w:hAnsi="Times New Roman" w:eastAsia="宋体" w:cs="Times New Roman"/>
          <w:color w:val="auto"/>
          <w:sz w:val="24"/>
          <w:lang w:eastAsia="zh-CN"/>
        </w:rPr>
        <w:t xml:space="preserve">小时内不能完成维修，则乙方最迟应在</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3</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lang w:eastAsia="zh-CN"/>
        </w:rPr>
        <w:t xml:space="preserve">日内免费向甲方提供同样规格要求的替代品。</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质保期内，相关产品技术升级，乙方须及时通知甲方，如甲方有相应要求，对甲方设备进行免费升级服务。</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售后服务中，使用的维修零配件应为原厂配件，未经甲方同意不得使用非原厂配件。</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质保期内，如因甲方使用或保管不善造成的问题，乙方应配合解决，但费用由甲方承担。</w:t>
      </w:r>
      <w:r/>
    </w:p>
    <w:p>
      <w:pPr>
        <w:ind w:left="0" w:firstLine="480"/>
        <w:keepLines w:val="0"/>
        <w:keepNext w:val="0"/>
        <w:pageBreakBefore w:val="0"/>
        <w:spacing w:line="288" w:lineRule="auto"/>
        <w:widowControl w:val="off"/>
        <w:rPr>
          <w:rFonts w:hint="eastAsia" w:ascii="黑体" w:hAnsi="黑体" w:eastAsia="黑体" w:cs="黑体"/>
          <w:color w:val="auto"/>
          <w:sz w:val="24"/>
          <w:lang w:val="en-US" w:eastAsia="zh-CN"/>
        </w:rPr>
      </w:pPr>
      <w:r>
        <w:rPr>
          <w:rFonts w:hint="eastAsia" w:ascii="黑体" w:hAnsi="黑体" w:eastAsia="黑体" w:cs="黑体"/>
          <w:color w:val="auto"/>
          <w:sz w:val="24"/>
          <w:lang w:val="en-US" w:eastAsia="zh-CN"/>
        </w:rPr>
        <w:t xml:space="preserve">六、伴随服务</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负责培训甲方设备操作人员，主要内容为设备的基本结构、性能、主要部件的构造，日常使用与管理，常见故障的排除，紧急情况的处理等，同时培训技术操作人员以下主要内容：仪器的基本原理和构造、计算软件使用方法、日常维护及一般故障排除，直至操作人员熟练使用该仪器，并随时提供技术指导，交流培训地点主要在设备安装现场、厂家所在地或甲方指定地点，培训费用包含在投标报价之中。</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技术支持响应时间。一般问题</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u w:val="single"/>
          <w:lang w:val="en-US" w:eastAsia="zh-CN"/>
        </w:rPr>
        <w:t xml:space="preserve">2</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lang w:eastAsia="zh-CN"/>
        </w:rPr>
        <w:t xml:space="preserve">小时内电话支持，难点、重点问题</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u w:val="single"/>
          <w:lang w:val="en-US" w:eastAsia="zh-CN"/>
        </w:rPr>
        <w:t xml:space="preserve">24</w:t>
      </w:r>
      <w:r>
        <w:rPr>
          <w:rFonts w:hint="eastAsia" w:ascii="Times New Roman" w:hAnsi="Times New Roman" w:eastAsia="宋体" w:cs="Times New Roman"/>
          <w:color w:val="auto"/>
          <w:sz w:val="24"/>
          <w:u w:val="single"/>
          <w:lang w:eastAsia="zh-CN"/>
        </w:rPr>
        <w:t xml:space="preserve">  </w:t>
      </w:r>
      <w:r>
        <w:rPr>
          <w:rFonts w:hint="eastAsia" w:ascii="Times New Roman" w:hAnsi="Times New Roman" w:eastAsia="宋体" w:cs="Times New Roman"/>
          <w:color w:val="auto"/>
          <w:sz w:val="24"/>
          <w:lang w:val="en-US" w:eastAsia="zh-CN"/>
        </w:rPr>
        <w:t xml:space="preserve">小时</w:t>
      </w:r>
      <w:r>
        <w:rPr>
          <w:rFonts w:hint="eastAsia" w:ascii="Times New Roman" w:hAnsi="Times New Roman" w:eastAsia="宋体" w:cs="Times New Roman"/>
          <w:color w:val="auto"/>
          <w:sz w:val="24"/>
          <w:lang w:eastAsia="zh-CN"/>
        </w:rPr>
        <w:t xml:space="preserve">内现场解决。</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设备试运行初期，乙方需派设备维保人员驻场至少</w:t>
      </w:r>
      <w:r>
        <w:rPr>
          <w:rFonts w:hint="eastAsia" w:ascii="Times New Roman" w:hAnsi="Times New Roman" w:eastAsia="宋体" w:cs="Times New Roman"/>
          <w:color w:val="auto"/>
          <w:sz w:val="24"/>
          <w:u w:val="single"/>
          <w:lang w:val="en-US" w:eastAsia="zh-CN"/>
        </w:rPr>
        <w:t xml:space="preserve">  7  </w:t>
      </w:r>
      <w:r>
        <w:rPr>
          <w:rFonts w:hint="eastAsia" w:ascii="Times New Roman" w:hAnsi="Times New Roman" w:eastAsia="宋体" w:cs="Times New Roman"/>
          <w:color w:val="auto"/>
          <w:sz w:val="24"/>
          <w:lang w:eastAsia="zh-CN"/>
        </w:rPr>
        <w:t xml:space="preserve">天，配合甲方完成</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u w:val="single"/>
          <w:lang w:eastAsia="zh-CN"/>
        </w:rPr>
        <w:t xml:space="preserve">1</w:t>
      </w:r>
      <w:r>
        <w:rPr>
          <w:rFonts w:hint="eastAsia" w:ascii="Times New Roman" w:hAnsi="Times New Roman" w:eastAsia="宋体" w:cs="Times New Roman"/>
          <w:color w:val="auto"/>
          <w:sz w:val="24"/>
          <w:u w:val="single"/>
          <w:lang w:val="en-US" w:eastAsia="zh-CN"/>
        </w:rPr>
        <w:t xml:space="preserve">5  </w:t>
      </w:r>
      <w:r>
        <w:rPr>
          <w:rFonts w:hint="eastAsia" w:ascii="Times New Roman" w:hAnsi="Times New Roman" w:eastAsia="宋体" w:cs="Times New Roman"/>
          <w:color w:val="auto"/>
          <w:sz w:val="24"/>
          <w:lang w:eastAsia="zh-CN"/>
        </w:rPr>
        <w:t xml:space="preserve">次日常巡检任务，配合相应的报告成果制作分析，对现场实施问题进行答疑指导，并根据使用单位需求，开发完善相关管理平台功能。</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 xml:space="preserve">乙方需配合仪器设备的年检工作，如有外地检定，乙方需提供专用的车辆保证货物的正常转运。</w:t>
      </w:r>
      <w:r/>
    </w:p>
    <w:p>
      <w:pPr>
        <w:ind w:left="0" w:firstLine="480"/>
        <w:keepLines w:val="0"/>
        <w:keepNext w:val="0"/>
        <w:pageBreakBefore w:val="0"/>
        <w:spacing w:line="288" w:lineRule="auto"/>
        <w:widowControl w:val="off"/>
        <w:rPr>
          <w:rFonts w:hint="eastAsia" w:ascii="黑体" w:hAnsi="黑体" w:eastAsia="黑体" w:cs="黑体"/>
          <w:color w:val="auto"/>
          <w:sz w:val="24"/>
          <w:lang w:val="en-US" w:eastAsia="zh-CN"/>
        </w:rPr>
      </w:pPr>
      <w:r>
        <w:rPr>
          <w:rFonts w:hint="eastAsia" w:ascii="黑体" w:hAnsi="黑体" w:eastAsia="黑体" w:cs="黑体"/>
          <w:color w:val="auto"/>
          <w:sz w:val="24"/>
          <w:lang w:val="en-US" w:eastAsia="zh-CN"/>
        </w:rPr>
        <w:t xml:space="preserve">七、相关约定</w:t>
      </w:r>
      <w:r/>
    </w:p>
    <w:p>
      <w:pPr>
        <w:ind w:left="0" w:firstLine="482"/>
        <w:keepLines w:val="0"/>
        <w:keepNext w:val="0"/>
        <w:pageBreakBefore w:val="0"/>
        <w:spacing w:line="288" w:lineRule="auto"/>
        <w:widowControl w:val="off"/>
        <w:rPr>
          <w:rFonts w:hint="eastAsia" w:ascii="Times New Roman" w:hAnsi="Times New Roman" w:eastAsia="宋体" w:cs="Times New Roman"/>
          <w:b/>
          <w:bCs/>
          <w:color w:val="auto"/>
          <w:sz w:val="24"/>
          <w:lang w:eastAsia="zh-CN"/>
        </w:rPr>
      </w:pPr>
      <w:r>
        <w:rPr>
          <w:rFonts w:hint="eastAsia" w:ascii="Times New Roman" w:hAnsi="Times New Roman" w:eastAsia="宋体" w:cs="Times New Roman"/>
          <w:b/>
          <w:bCs/>
          <w:color w:val="auto"/>
          <w:sz w:val="24"/>
          <w:lang w:val="en-US" w:eastAsia="zh-CN"/>
        </w:rPr>
        <w:t xml:space="preserve">1、</w:t>
      </w:r>
      <w:r>
        <w:rPr>
          <w:rFonts w:hint="eastAsia" w:ascii="Times New Roman" w:hAnsi="Times New Roman" w:eastAsia="宋体" w:cs="Times New Roman"/>
          <w:b/>
          <w:bCs/>
          <w:color w:val="auto"/>
          <w:sz w:val="24"/>
          <w:lang w:eastAsia="zh-CN"/>
        </w:rPr>
        <w:t xml:space="preserve">质量保证</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在整个项目开展过程中，须特别重视项目质量管理，项目应严格按照国家和江苏省、徐州市相关技术规范要求实施。乙方提供的服务和产品性能及质量必须符合最新的国家标准和行业标准，并满足采购文件要求，实现投标文件承诺条款。</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保证提供的合同标的物（包括零配件）必须是全新的、未使用过的原装合格产品，其质量、规格参数及技术特征、安装调试检测售后及所有相关服务均符合国际或国家通用标准、合同及采购文件的要求，并与投标（报价）文件所附的技术规格响应表相一致。合同标的物在正确安装、正常使用和保养条件下，在其使用寿命内应具有满意的性能。合同标的物最终验收后，在质量保证期内，对由于设计、工艺或材料缺陷而发生任何不足或故障，乙方应负责并承担</w:t>
      </w:r>
      <w:r>
        <w:rPr>
          <w:rFonts w:hint="eastAsia" w:ascii="Times New Roman" w:hAnsi="Times New Roman" w:eastAsia="宋体" w:cs="Times New Roman"/>
          <w:color w:val="auto"/>
          <w:sz w:val="24"/>
          <w:lang w:val="en-US" w:eastAsia="zh-CN"/>
        </w:rPr>
        <w:t xml:space="preserve">由此引起的一切后果和</w:t>
      </w:r>
      <w:r>
        <w:rPr>
          <w:rFonts w:hint="eastAsia" w:ascii="Times New Roman" w:hAnsi="Times New Roman" w:eastAsia="宋体" w:cs="Times New Roman"/>
          <w:color w:val="auto"/>
          <w:sz w:val="24"/>
          <w:lang w:eastAsia="zh-CN"/>
        </w:rPr>
        <w:t xml:space="preserve">相应费用。</w:t>
      </w:r>
      <w:r/>
    </w:p>
    <w:p>
      <w:pPr>
        <w:ind w:left="0" w:firstLine="482"/>
        <w:keepLines w:val="0"/>
        <w:keepNext w:val="0"/>
        <w:pageBreakBefore w:val="0"/>
        <w:spacing w:line="288" w:lineRule="auto"/>
        <w:widowControl w:val="off"/>
        <w:rPr>
          <w:rFonts w:hint="eastAsia" w:ascii="Times New Roman" w:hAnsi="Times New Roman" w:eastAsia="宋体" w:cs="Times New Roman"/>
          <w:b/>
          <w:bCs/>
          <w:color w:val="auto"/>
          <w:sz w:val="24"/>
          <w:lang w:eastAsia="zh-CN"/>
        </w:rPr>
      </w:pPr>
      <w:r>
        <w:rPr>
          <w:rFonts w:hint="eastAsia" w:ascii="Times New Roman" w:hAnsi="Times New Roman" w:eastAsia="宋体" w:cs="Times New Roman"/>
          <w:b/>
          <w:bCs/>
          <w:color w:val="auto"/>
          <w:sz w:val="24"/>
          <w:lang w:val="en-US" w:eastAsia="zh-CN"/>
        </w:rPr>
        <w:t xml:space="preserve">2</w:t>
      </w:r>
      <w:r>
        <w:rPr>
          <w:rFonts w:hint="eastAsia" w:ascii="Times New Roman" w:hAnsi="Times New Roman" w:eastAsia="宋体" w:cs="Times New Roman"/>
          <w:b/>
          <w:bCs/>
          <w:color w:val="auto"/>
          <w:sz w:val="24"/>
          <w:lang w:eastAsia="zh-CN"/>
        </w:rPr>
        <w:t xml:space="preserve">、保密要求</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乙方及其工作人员需遵守甲方的保密规定，不得以任何形式将项目实施过程中收集的资料、数据等泄漏、传播。设备运行、采集的数据、项目成果最终所有权属甲方，在项目完成时乙方必须全部移交。</w:t>
      </w:r>
      <w:r/>
    </w:p>
    <w:p>
      <w:pPr>
        <w:ind w:left="0" w:firstLine="482"/>
        <w:keepLines w:val="0"/>
        <w:keepNext w:val="0"/>
        <w:pageBreakBefore w:val="0"/>
        <w:spacing w:line="288" w:lineRule="auto"/>
        <w:widowControl w:val="off"/>
        <w:rPr>
          <w:rFonts w:hint="eastAsia" w:ascii="Times New Roman" w:hAnsi="Times New Roman" w:eastAsia="宋体" w:cs="Times New Roman"/>
          <w:b/>
          <w:bCs/>
          <w:color w:val="auto"/>
          <w:sz w:val="24"/>
          <w:lang w:eastAsia="zh-CN"/>
        </w:rPr>
      </w:pPr>
      <w:r>
        <w:rPr>
          <w:rFonts w:hint="eastAsia" w:ascii="Times New Roman" w:hAnsi="Times New Roman" w:eastAsia="宋体" w:cs="Times New Roman"/>
          <w:b/>
          <w:bCs/>
          <w:color w:val="auto"/>
          <w:sz w:val="24"/>
          <w:lang w:val="en-US" w:eastAsia="zh-CN"/>
        </w:rPr>
        <w:t xml:space="preserve">3</w:t>
      </w:r>
      <w:r>
        <w:rPr>
          <w:rFonts w:hint="eastAsia" w:ascii="Times New Roman" w:hAnsi="Times New Roman" w:eastAsia="宋体" w:cs="Times New Roman"/>
          <w:b/>
          <w:bCs/>
          <w:color w:val="auto"/>
          <w:sz w:val="24"/>
          <w:lang w:eastAsia="zh-CN"/>
        </w:rPr>
        <w:t xml:space="preserve">、安全要求</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left="0" w:firstLine="482"/>
        <w:keepLines w:val="0"/>
        <w:keepNext w:val="0"/>
        <w:pageBreakBefore w:val="0"/>
        <w:spacing w:line="288" w:lineRule="auto"/>
        <w:widowControl w:val="off"/>
        <w:rPr>
          <w:rFonts w:hint="eastAsia" w:ascii="Times New Roman" w:hAnsi="Times New Roman" w:eastAsia="宋体" w:cs="Times New Roman"/>
          <w:b/>
          <w:bCs/>
          <w:color w:val="auto"/>
          <w:sz w:val="24"/>
          <w:lang w:eastAsia="zh-CN"/>
        </w:rPr>
      </w:pPr>
      <w:r>
        <w:rPr>
          <w:rFonts w:hint="eastAsia" w:ascii="Times New Roman" w:hAnsi="Times New Roman" w:eastAsia="宋体" w:cs="Times New Roman"/>
          <w:b/>
          <w:bCs/>
          <w:color w:val="auto"/>
          <w:sz w:val="24"/>
          <w:lang w:val="en-US" w:eastAsia="zh-CN"/>
        </w:rPr>
        <w:t xml:space="preserve">4</w:t>
      </w:r>
      <w:r>
        <w:rPr>
          <w:rFonts w:hint="eastAsia" w:ascii="Times New Roman" w:hAnsi="Times New Roman" w:eastAsia="宋体" w:cs="Times New Roman"/>
          <w:b/>
          <w:bCs/>
          <w:color w:val="auto"/>
          <w:sz w:val="24"/>
          <w:lang w:eastAsia="zh-CN"/>
        </w:rPr>
        <w:t xml:space="preserve">、知识产权</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乙方应能保证所提供设备、服务涉及到的知识产权是合法取得，并享有完整的知识产权。乙方应保证甲方免除并承担由于甲方在使用该项目所采购的设备及获得相关服务时而引起第三方提出的侵犯专利权、知识产权或设计权的起诉、行动、行政程序索赔、请求等以及甲方为此而产生的损失和损害等一切经济和法律责任。</w:t>
      </w:r>
      <w:r/>
    </w:p>
    <w:p>
      <w:pPr>
        <w:ind w:left="0" w:firstLine="482"/>
        <w:keepLines w:val="0"/>
        <w:keepNext w:val="0"/>
        <w:pageBreakBefore w:val="0"/>
        <w:spacing w:line="288" w:lineRule="auto"/>
        <w:widowControl w:val="off"/>
        <w:rPr>
          <w:rFonts w:hint="eastAsia" w:ascii="Times New Roman" w:hAnsi="Times New Roman" w:eastAsia="宋体" w:cs="Times New Roman"/>
          <w:b/>
          <w:bCs/>
          <w:color w:val="auto"/>
          <w:sz w:val="24"/>
          <w:lang w:val="en-US" w:eastAsia="zh-CN"/>
        </w:rPr>
      </w:pPr>
      <w:r>
        <w:rPr>
          <w:rFonts w:hint="eastAsia" w:ascii="Times New Roman" w:hAnsi="Times New Roman" w:eastAsia="宋体" w:cs="Times New Roman"/>
          <w:b/>
          <w:bCs/>
          <w:color w:val="auto"/>
          <w:sz w:val="24"/>
          <w:lang w:val="en-US" w:eastAsia="zh-CN"/>
        </w:rPr>
        <w:t xml:space="preserve">5、诚实信用</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 xml:space="preserve">双方应诚实信用，严格按照采购文件要求和投标承诺履行合同。乙方不得向甲方工作人员进行商业贿赂或者提供不正当利益。</w:t>
      </w:r>
      <w:r/>
    </w:p>
    <w:p>
      <w:pPr>
        <w:ind w:left="0" w:firstLine="480"/>
        <w:keepLines w:val="0"/>
        <w:keepNext w:val="0"/>
        <w:pageBreakBefore w:val="0"/>
        <w:spacing w:line="288" w:lineRule="auto"/>
        <w:widowControl w:val="off"/>
        <w:rPr>
          <w:rFonts w:hint="eastAsia" w:ascii="黑体" w:hAnsi="黑体" w:eastAsia="黑体" w:cs="黑体"/>
          <w:color w:val="auto"/>
          <w:sz w:val="24"/>
          <w:lang w:val="en-US" w:eastAsia="zh-CN"/>
        </w:rPr>
      </w:pPr>
      <w:r>
        <w:rPr>
          <w:rFonts w:hint="eastAsia" w:ascii="黑体" w:hAnsi="黑体" w:eastAsia="黑体" w:cs="黑体"/>
          <w:color w:val="auto"/>
          <w:sz w:val="24"/>
          <w:lang w:val="en-US" w:eastAsia="zh-CN"/>
        </w:rPr>
        <w:t xml:space="preserve">八、甲方的权利和义务</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1、甲方有权指定第三方对乙方的服务进行监管，每周1次对乙方的服务工作及资金使用情况进行评估督导，并对不符合有关规定的行为提出整改意见。甲方认为乙方提供的设备存在质量问题的，可以报请法定检验机构、相关权威部门进行检查、检测，相关费用由乙方承担。</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2、甲方对乙方开展服务提供必要的协助及便利，包括业务指导、有关情况及相关资料的提供。</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3、甲方负责乙方在开展本项目工作过程中与镇（街）、村（社区）及有关部门的协调工作。</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4、因乙方工作过失，例如未能按时交付标的物、未能按要求提供售后服务和伴随服务等，造成甲方损失的，甲方有权追究乙方的责任。</w:t>
      </w:r>
      <w:r/>
    </w:p>
    <w:p>
      <w:pPr>
        <w:ind w:left="0" w:firstLine="480"/>
        <w:keepLines w:val="0"/>
        <w:keepNext w:val="0"/>
        <w:pageBreakBefore w:val="0"/>
        <w:spacing w:line="288" w:lineRule="auto"/>
        <w:widowControl w:val="off"/>
        <w:rPr>
          <w:rFonts w:hint="eastAsia" w:ascii="黑体" w:hAnsi="黑体" w:eastAsia="黑体" w:cs="黑体"/>
          <w:color w:val="auto"/>
          <w:sz w:val="24"/>
          <w:lang w:val="en-US" w:eastAsia="zh-CN"/>
        </w:rPr>
      </w:pPr>
      <w:r>
        <w:rPr>
          <w:rFonts w:hint="eastAsia" w:ascii="黑体" w:hAnsi="黑体" w:eastAsia="黑体" w:cs="黑体"/>
          <w:color w:val="auto"/>
          <w:sz w:val="24"/>
          <w:lang w:val="en-US" w:eastAsia="zh-CN"/>
        </w:rPr>
        <w:t xml:space="preserve">九、乙方的权利和义务</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lang w:eastAsia="zh-CN"/>
        </w:rPr>
        <w:t xml:space="preserve">乙方每周1次以书面报告或微信消息等方式向甲方反映服务开展情况，在项目评估前提供数据比对分析结果，严禁弄虚作假、伪造服务记录等行为，配合甲方指定的第三方机构进行服务评估，并自甲方发出整改单之日起5个工作日内根据评估结果改进服务措施、提升服务质量。</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2、乙方接受甲方及有关部门的监督，根据甲方要求，配合做好查阅专业服务记录和财务管理资料的工作，自甲方发出整改单之日起5个工作日内落实整改甲方在日常督查、评估中提出的意见和建议。</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3、乙方须配备足够的、具有专业资质的工作人员开展服务，自觉遵守国家法律法规和职业道德，尊重服务对象，运用专业知识和技巧开展服务。</w:t>
      </w:r>
      <w:r/>
    </w:p>
    <w:p>
      <w:pPr>
        <w:ind w:left="0"/>
        <w:keepLines w:val="0"/>
        <w:keepNext w:val="0"/>
        <w:pageBreakBefore w:val="0"/>
        <w:spacing w:line="288" w:lineRule="auto"/>
        <w:widowControl w:val="off"/>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 xml:space="preserve">    4、</w:t>
      </w:r>
      <w:r>
        <w:rPr>
          <w:rFonts w:hint="eastAsia" w:ascii="Times New Roman" w:hAnsi="Times New Roman" w:eastAsia="宋体" w:cs="Times New Roman"/>
          <w:color w:val="auto"/>
          <w:sz w:val="24"/>
          <w:lang w:eastAsia="zh-CN"/>
        </w:rPr>
        <w:t xml:space="preserve">乙方应加强队伍自身建设，建立和完善内部管理制度、服务人员培训制度、服务质量管理制度、服务承诺制度和服务反馈制度，设立公开的投诉电话。</w:t>
      </w:r>
      <w:r>
        <w:rPr>
          <w:rFonts w:hint="eastAsia" w:ascii="Times New Roman" w:hAnsi="Times New Roman" w:eastAsia="宋体" w:cs="Times New Roman"/>
          <w:color w:val="auto"/>
          <w:sz w:val="24"/>
          <w:lang w:val="en-US" w:eastAsia="zh-CN"/>
        </w:rPr>
        <w:t xml:space="preserve"> </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5、</w:t>
      </w:r>
      <w:r>
        <w:rPr>
          <w:rFonts w:hint="eastAsia" w:ascii="Times New Roman" w:hAnsi="Times New Roman" w:eastAsia="宋体" w:cs="Times New Roman"/>
          <w:color w:val="auto"/>
          <w:sz w:val="24"/>
          <w:lang w:eastAsia="zh-CN"/>
        </w:rPr>
        <w:t xml:space="preserve">乙方应严格按照甲方要求，管理使用好政府采购经费，专款专用，并针对项目资金使用情况，以文字或通话形式每周1次以书面报告或微信消息等方式向甲方汇报。</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6、乙方不得再委托或者转包本合同所确定的服务项目，确需转包的应征得甲方同意否则视为违约，甲方有权追究乙方的责任。</w:t>
      </w:r>
      <w:r/>
    </w:p>
    <w:p>
      <w:pPr>
        <w:ind w:left="0" w:firstLine="480"/>
        <w:keepLines w:val="0"/>
        <w:keepNext w:val="0"/>
        <w:pageBreakBefore w:val="0"/>
        <w:spacing w:line="288" w:lineRule="auto"/>
        <w:widowControl w:val="off"/>
        <w:rPr>
          <w:rFonts w:hint="eastAsia" w:ascii="黑体" w:hAnsi="黑体" w:eastAsia="黑体" w:cs="黑体"/>
          <w:color w:val="auto"/>
          <w:sz w:val="24"/>
          <w:lang w:val="en-US" w:eastAsia="zh-CN"/>
        </w:rPr>
      </w:pPr>
      <w:r>
        <w:rPr>
          <w:rFonts w:hint="eastAsia" w:ascii="黑体" w:hAnsi="黑体" w:eastAsia="黑体" w:cs="黑体"/>
          <w:color w:val="auto"/>
          <w:sz w:val="24"/>
          <w:lang w:val="en-US" w:eastAsia="zh-CN"/>
        </w:rPr>
        <w:t xml:space="preserve">十、合同的解除和终止</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出现以下情形，甲方可单方面解除协议（解除通知书送达地址为合同上地址，收件人为乙方法定代表人，拒收或无人接收视为送达）。乙方在接到甲方通知后10天内配合甲方完成项目验收并与后续企业完成工作交接。</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1、在甲方和第三方评估不定期检查中发现乙方所提供的标的物、服务未达到甲方或评估机构的要求，且未按要求第一时间整改，甲方有权终止协议，由此造成甲方的一切损失，乙方应给予赔偿。</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2、乙方服务能力丧失，致使服务无法正常进行的。</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3、发现乙方已不再具备采购文件中规定的承接主体应具备的条件，造成合同无法履行的。</w:t>
      </w:r>
      <w:r/>
    </w:p>
    <w:p>
      <w:pPr>
        <w:ind w:left="0" w:firstLine="480"/>
        <w:keepLines w:val="0"/>
        <w:keepNext w:val="0"/>
        <w:pageBreakBefore w:val="0"/>
        <w:spacing w:line="288" w:lineRule="auto"/>
        <w:widowControl w:val="off"/>
        <w:rPr>
          <w:rFonts w:hint="eastAsia" w:ascii="黑体" w:hAnsi="黑体" w:eastAsia="黑体" w:cs="黑体"/>
          <w:color w:val="auto"/>
          <w:sz w:val="24"/>
          <w:lang w:val="en-US" w:eastAsia="zh-CN"/>
        </w:rPr>
      </w:pPr>
      <w:r>
        <w:rPr>
          <w:rFonts w:hint="eastAsia" w:ascii="黑体" w:hAnsi="黑体" w:eastAsia="黑体" w:cs="黑体"/>
          <w:color w:val="auto"/>
          <w:sz w:val="24"/>
          <w:lang w:val="en-US" w:eastAsia="zh-CN"/>
        </w:rPr>
        <w:t xml:space="preserve">十一、违约责任与赔偿损失</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lang w:eastAsia="zh-CN"/>
        </w:rPr>
        <w:t xml:space="preserve">如果乙方未能按照合同规定的时间交货和提供服务，乙方应按每延迟一天支付合同总价款的百分之一（1%）的比率支付违约金，违约金的总金额不超过合同总价款的百分之二十（</w:t>
      </w:r>
      <w:r>
        <w:rPr>
          <w:rFonts w:hint="eastAsia" w:ascii="Times New Roman" w:hAnsi="Times New Roman" w:eastAsia="宋体" w:cs="Times New Roman"/>
          <w:color w:val="auto"/>
          <w:sz w:val="24"/>
          <w:lang w:val="en-US" w:eastAsia="zh-CN"/>
        </w:rPr>
        <w:t xml:space="preserve">2</w:t>
      </w:r>
      <w:r>
        <w:rPr>
          <w:rFonts w:hint="eastAsia" w:ascii="Times New Roman" w:hAnsi="Times New Roman" w:eastAsia="宋体" w:cs="Times New Roman"/>
          <w:color w:val="auto"/>
          <w:sz w:val="24"/>
          <w:lang w:eastAsia="zh-CN"/>
        </w:rPr>
        <w:t xml:space="preserve">0%）。违约金的支付不能免除乙方继续交付相关合同标的物和提供服务的义务。一旦达到误期赔偿的最高限额，甲方可终止合同。</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2、甲方有权根据相关机构出具的检验报告或双方验收结果，向乙方提出索赔。第一次检验（验收）不合格扣合同总价款的百分之五（</w:t>
      </w:r>
      <w:r>
        <w:rPr>
          <w:rFonts w:hint="eastAsia" w:ascii="Times New Roman" w:hAnsi="Times New Roman" w:eastAsia="宋体" w:cs="Times New Roman"/>
          <w:color w:val="auto"/>
          <w:sz w:val="24"/>
          <w:lang w:val="en-US" w:eastAsia="zh-CN"/>
        </w:rPr>
        <w:t xml:space="preserve">5</w:t>
      </w:r>
      <w:r>
        <w:rPr>
          <w:rFonts w:hint="eastAsia" w:ascii="Times New Roman" w:hAnsi="Times New Roman" w:eastAsia="宋体" w:cs="Times New Roman"/>
          <w:color w:val="auto"/>
          <w:sz w:val="24"/>
          <w:lang w:eastAsia="zh-CN"/>
        </w:rPr>
        <w:t xml:space="preserve">%），第二次检验（验收）不合格的扣合同总价款的百分之十（</w:t>
      </w: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lang w:eastAsia="zh-CN"/>
        </w:rPr>
        <w:t xml:space="preserve">0%），三次检验（验收）不合格的扣合同总价款的百分之二十（</w:t>
      </w:r>
      <w:r>
        <w:rPr>
          <w:rFonts w:hint="eastAsia" w:ascii="Times New Roman" w:hAnsi="Times New Roman" w:eastAsia="宋体" w:cs="Times New Roman"/>
          <w:color w:val="auto"/>
          <w:sz w:val="24"/>
          <w:lang w:val="en-US" w:eastAsia="zh-CN"/>
        </w:rPr>
        <w:t xml:space="preserve">2</w:t>
      </w:r>
      <w:r>
        <w:rPr>
          <w:rFonts w:hint="eastAsia" w:ascii="Times New Roman" w:hAnsi="Times New Roman" w:eastAsia="宋体" w:cs="Times New Roman"/>
          <w:color w:val="auto"/>
          <w:sz w:val="24"/>
          <w:lang w:eastAsia="zh-CN"/>
        </w:rPr>
        <w:t xml:space="preserve">0%）。</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3、</w:t>
      </w:r>
      <w:r>
        <w:rPr>
          <w:rFonts w:hint="eastAsia" w:ascii="Times New Roman" w:hAnsi="Times New Roman" w:eastAsia="宋体" w:cs="Times New Roman"/>
          <w:color w:val="auto"/>
          <w:sz w:val="24"/>
          <w:lang w:eastAsia="zh-CN"/>
        </w:rPr>
        <w:t xml:space="preserve">乙方不能完整交付货物及本款规定的单证和工具的，视为未按合同约定交货，乙方负责补齐，因此导致逾期交付的，由乙方承担相关的违约风险及责任，违约金的金额为本合同总价款的百分之十（</w:t>
      </w: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lang w:eastAsia="zh-CN"/>
        </w:rPr>
        <w:t xml:space="preserve">0%）。</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4、</w:t>
      </w:r>
      <w:r>
        <w:rPr>
          <w:rFonts w:hint="eastAsia" w:ascii="Times New Roman" w:hAnsi="Times New Roman" w:eastAsia="宋体" w:cs="Times New Roman"/>
          <w:color w:val="auto"/>
          <w:sz w:val="24"/>
          <w:lang w:eastAsia="zh-CN"/>
        </w:rPr>
        <w:t xml:space="preserve">乙方每周1次以书面报告或微信消息等方式向甲方反映服务开展情况，严禁弄虚作假、伪造服务记录等行为，配合甲方指定的第三方机构进行服务评估，并自甲方发出整改单之日起5个工作日内根据评估结果改进服务措施、提升服务质量。如违反该条款，甲方有权追究乙方相关责任，乙方应当赔偿甲方损失，违约金的金额为本合同总价款的百分之二十（</w:t>
      </w:r>
      <w:r>
        <w:rPr>
          <w:rFonts w:hint="eastAsia" w:ascii="Times New Roman" w:hAnsi="Times New Roman" w:eastAsia="宋体" w:cs="Times New Roman"/>
          <w:color w:val="auto"/>
          <w:sz w:val="24"/>
          <w:lang w:val="en-US" w:eastAsia="zh-CN"/>
        </w:rPr>
        <w:t xml:space="preserve">20</w:t>
      </w:r>
      <w:r>
        <w:rPr>
          <w:rFonts w:hint="eastAsia" w:ascii="Times New Roman" w:hAnsi="Times New Roman" w:eastAsia="宋体" w:cs="Times New Roman"/>
          <w:color w:val="auto"/>
          <w:sz w:val="24"/>
          <w:lang w:eastAsia="zh-CN"/>
        </w:rPr>
        <w:t xml:space="preserve">%）。</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5</w:t>
      </w:r>
      <w:r>
        <w:rPr>
          <w:rFonts w:hint="eastAsia" w:ascii="Times New Roman" w:hAnsi="Times New Roman" w:eastAsia="宋体" w:cs="Times New Roman"/>
          <w:color w:val="auto"/>
          <w:sz w:val="24"/>
          <w:lang w:eastAsia="zh-CN"/>
        </w:rPr>
        <w:t xml:space="preserve">、乙方接受甲方及有关部门的监督，根据甲方要求，配合做好查阅专业服务记录和财务管理资料的工作，自甲方发出整改单之日起5个工作日内落实整改甲方在日常督查、评估中提出的意见和建议。如违反该条款，甲方有权追究乙方相关责任，乙方应当赔偿甲方损失，违约金的金额为本合同总价款的百分之二十（</w:t>
      </w:r>
      <w:r>
        <w:rPr>
          <w:rFonts w:hint="eastAsia" w:ascii="Times New Roman" w:hAnsi="Times New Roman" w:eastAsia="宋体" w:cs="Times New Roman"/>
          <w:color w:val="auto"/>
          <w:sz w:val="24"/>
          <w:lang w:val="en-US" w:eastAsia="zh-CN"/>
        </w:rPr>
        <w:t xml:space="preserve">20</w:t>
      </w:r>
      <w:r>
        <w:rPr>
          <w:rFonts w:hint="eastAsia" w:ascii="Times New Roman" w:hAnsi="Times New Roman" w:eastAsia="宋体" w:cs="Times New Roman"/>
          <w:color w:val="auto"/>
          <w:sz w:val="24"/>
          <w:lang w:eastAsia="zh-CN"/>
        </w:rPr>
        <w:t xml:space="preserve">%）。</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6</w:t>
      </w:r>
      <w:r>
        <w:rPr>
          <w:rFonts w:hint="eastAsia" w:ascii="Times New Roman" w:hAnsi="Times New Roman" w:eastAsia="宋体" w:cs="Times New Roman"/>
          <w:color w:val="auto"/>
          <w:sz w:val="24"/>
          <w:lang w:eastAsia="zh-CN"/>
        </w:rPr>
        <w:t xml:space="preserve">、乙方及其工作人员需遵守甲方的保密规定，不得以任何形式将收集的资料、数据等进行泄漏、传播。项目成果最终所有权属甲方，在项目完成时乙方必须全部移交。以上保密规定如有违反，甲方有权追究乙方相关责任，乙方应当赔偿甲方损失，违约金的金额为本合同总价款的百分之二十（</w:t>
      </w:r>
      <w:r>
        <w:rPr>
          <w:rFonts w:hint="eastAsia" w:ascii="Times New Roman" w:hAnsi="Times New Roman" w:eastAsia="宋体" w:cs="Times New Roman"/>
          <w:color w:val="auto"/>
          <w:sz w:val="24"/>
          <w:lang w:val="en-US" w:eastAsia="zh-CN"/>
        </w:rPr>
        <w:t xml:space="preserve">2</w:t>
      </w:r>
      <w:r>
        <w:rPr>
          <w:rFonts w:hint="eastAsia" w:ascii="Times New Roman" w:hAnsi="Times New Roman" w:eastAsia="宋体" w:cs="Times New Roman"/>
          <w:color w:val="auto"/>
          <w:sz w:val="24"/>
          <w:lang w:eastAsia="zh-CN"/>
        </w:rPr>
        <w:t xml:space="preserve">0%）。</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lang w:eastAsia="zh-CN"/>
        </w:rPr>
        <w:t xml:space="preserve">、乙方须配备足够的、具有专业资质的工作人员开展服务，自觉遵守国家法律法规和职业道德，尊重服务对象，运用专业知识和技巧开展服务。如违反该条款，甲方有权追究乙方相关责任，乙方应当赔偿甲方损失，违约金的金额为本合同总价款的百分之二十（</w:t>
      </w:r>
      <w:r>
        <w:rPr>
          <w:rFonts w:hint="eastAsia" w:ascii="Times New Roman" w:hAnsi="Times New Roman" w:eastAsia="宋体" w:cs="Times New Roman"/>
          <w:color w:val="auto"/>
          <w:sz w:val="24"/>
          <w:lang w:val="en-US" w:eastAsia="zh-CN"/>
        </w:rPr>
        <w:t xml:space="preserve">20</w:t>
      </w:r>
      <w:r>
        <w:rPr>
          <w:rFonts w:hint="eastAsia" w:ascii="Times New Roman" w:hAnsi="Times New Roman" w:eastAsia="宋体" w:cs="Times New Roman"/>
          <w:color w:val="auto"/>
          <w:sz w:val="24"/>
          <w:lang w:eastAsia="zh-CN"/>
        </w:rPr>
        <w:t xml:space="preserve">%）。</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8</w:t>
      </w:r>
      <w:r>
        <w:rPr>
          <w:rFonts w:hint="eastAsia" w:ascii="Times New Roman" w:hAnsi="Times New Roman" w:eastAsia="宋体" w:cs="Times New Roman"/>
          <w:color w:val="auto"/>
          <w:sz w:val="24"/>
          <w:lang w:eastAsia="zh-CN"/>
        </w:rPr>
        <w:t xml:space="preserve">、因乙方工作过失，未能按时提供售后服务、伴随服务等，无法修正且造成甲方损失的，甲方有权追究乙方的相关责任，乙方应当赔偿甲方损失，违约金的金额为本合同总价款的百分之二十（</w:t>
      </w:r>
      <w:r>
        <w:rPr>
          <w:rFonts w:hint="eastAsia" w:ascii="Times New Roman" w:hAnsi="Times New Roman" w:eastAsia="宋体" w:cs="Times New Roman"/>
          <w:color w:val="auto"/>
          <w:sz w:val="24"/>
          <w:lang w:val="en-US" w:eastAsia="zh-CN"/>
        </w:rPr>
        <w:t xml:space="preserve">20</w:t>
      </w:r>
      <w:r>
        <w:rPr>
          <w:rFonts w:hint="eastAsia" w:ascii="Times New Roman" w:hAnsi="Times New Roman" w:eastAsia="宋体" w:cs="Times New Roman"/>
          <w:color w:val="auto"/>
          <w:sz w:val="24"/>
          <w:lang w:eastAsia="zh-CN"/>
        </w:rPr>
        <w:t xml:space="preserve">%）。</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9</w:t>
      </w:r>
      <w:r>
        <w:rPr>
          <w:rFonts w:hint="eastAsia" w:ascii="Times New Roman" w:hAnsi="Times New Roman" w:eastAsia="宋体" w:cs="Times New Roman"/>
          <w:color w:val="auto"/>
          <w:sz w:val="24"/>
          <w:lang w:eastAsia="zh-CN"/>
        </w:rPr>
        <w:t xml:space="preserve">、乙方应严格按照甲方要求，管理使用好政府采购经费，专款专用，并针对项目资金使用情况，以文字或通话形式每周1次以书面报告或微信消息等方式向甲方汇报。如违反该条款，甲方有权追究乙方相关责任，乙方应当赔偿甲方损失，违约金的金额为本合同总价款的百分之十（</w:t>
      </w:r>
      <w:r>
        <w:rPr>
          <w:rFonts w:hint="eastAsia" w:ascii="Times New Roman" w:hAnsi="Times New Roman" w:eastAsia="宋体" w:cs="Times New Roman"/>
          <w:color w:val="auto"/>
          <w:sz w:val="24"/>
          <w:lang w:val="en-US" w:eastAsia="zh-CN"/>
        </w:rPr>
        <w:t xml:space="preserve">10</w:t>
      </w:r>
      <w:r>
        <w:rPr>
          <w:rFonts w:hint="eastAsia" w:ascii="Times New Roman" w:hAnsi="Times New Roman" w:eastAsia="宋体" w:cs="Times New Roman"/>
          <w:color w:val="auto"/>
          <w:sz w:val="24"/>
          <w:lang w:eastAsia="zh-CN"/>
        </w:rPr>
        <w:t xml:space="preserve">%）。</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 xml:space="preserve">1</w:t>
      </w:r>
      <w:r>
        <w:rPr>
          <w:rFonts w:hint="eastAsia" w:ascii="Times New Roman" w:hAnsi="Times New Roman" w:eastAsia="宋体" w:cs="Times New Roman"/>
          <w:color w:val="auto"/>
          <w:sz w:val="24"/>
          <w:lang w:val="en-US" w:eastAsia="zh-CN"/>
        </w:rPr>
        <w:t xml:space="preserve">0</w:t>
      </w:r>
      <w:r>
        <w:rPr>
          <w:rFonts w:hint="eastAsia" w:ascii="Times New Roman" w:hAnsi="Times New Roman" w:eastAsia="宋体" w:cs="Times New Roman"/>
          <w:color w:val="auto"/>
          <w:sz w:val="24"/>
          <w:lang w:eastAsia="zh-CN"/>
        </w:rPr>
        <w:t xml:space="preserve">、乙方对服务对象有谩骂虐待行为、虚报服务纪录、套用(套取)服务资金或服务内容与实际需求不符，乙方须向甲方支付本合同总价款百分之十（</w:t>
      </w: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lang w:eastAsia="zh-CN"/>
        </w:rPr>
        <w:t xml:space="preserve">0%）的违约金并返还已结算服务金额，相关法律后果由乙方自行承担。</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 xml:space="preserve">11</w:t>
      </w:r>
      <w:r>
        <w:rPr>
          <w:rFonts w:hint="eastAsia" w:ascii="Times New Roman" w:hAnsi="Times New Roman" w:eastAsia="宋体" w:cs="Times New Roman"/>
          <w:color w:val="auto"/>
          <w:sz w:val="24"/>
          <w:lang w:eastAsia="zh-CN"/>
        </w:rPr>
        <w:t xml:space="preserve">、乙方提供的服务不符合采购文件、投标文件或本合同规定的，乙方须向甲方支付本合同价款百分之十（10%）的违约金并返还已结算服务金额</w:t>
      </w:r>
      <w:r>
        <w:rPr>
          <w:rFonts w:hint="eastAsia" w:ascii="Times New Roman" w:hAnsi="Times New Roman" w:eastAsia="宋体" w:cs="Times New Roman"/>
          <w:color w:val="auto"/>
          <w:sz w:val="24"/>
          <w:lang w:val="en-US" w:eastAsia="zh-CN"/>
        </w:rPr>
        <w:t xml:space="preserve">。</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12</w:t>
      </w:r>
      <w:r>
        <w:rPr>
          <w:rFonts w:hint="eastAsia" w:ascii="Times New Roman" w:hAnsi="Times New Roman" w:eastAsia="宋体" w:cs="Times New Roman"/>
          <w:color w:val="auto"/>
          <w:sz w:val="24"/>
          <w:lang w:eastAsia="zh-CN"/>
        </w:rPr>
        <w:t xml:space="preserve">、乙方不得再委托或者转包、分包本合同所确定的服务项目，确需转包的应征得甲方同意否则视为违约。如违反该条款，所造成的一切损失由乙方负责，甲方有权无条件将乙方清理退场，有权拒付全部余款，并追究乙方相关责任，乙方应当赔偿甲方损失，违约金的金额为本合同总价款的百分之十（</w:t>
      </w:r>
      <w:r>
        <w:rPr>
          <w:rFonts w:hint="eastAsia" w:ascii="Times New Roman" w:hAnsi="Times New Roman" w:eastAsia="宋体" w:cs="Times New Roman"/>
          <w:color w:val="auto"/>
          <w:sz w:val="24"/>
          <w:lang w:val="en-US" w:eastAsia="zh-CN"/>
        </w:rPr>
        <w:t xml:space="preserve">10</w:t>
      </w:r>
      <w:r>
        <w:rPr>
          <w:rFonts w:hint="eastAsia" w:ascii="Times New Roman" w:hAnsi="Times New Roman" w:eastAsia="宋体" w:cs="Times New Roman"/>
          <w:color w:val="auto"/>
          <w:sz w:val="24"/>
          <w:lang w:eastAsia="zh-CN"/>
        </w:rPr>
        <w:t xml:space="preserve">%）。</w:t>
      </w:r>
      <w:r/>
    </w:p>
    <w:p>
      <w:pPr>
        <w:ind w:left="0" w:firstLine="480"/>
        <w:keepLines w:val="0"/>
        <w:keepNext w:val="0"/>
        <w:pageBreakBefore w:val="0"/>
        <w:spacing w:line="288" w:lineRule="auto"/>
        <w:widowControl w:val="off"/>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eastAsia="zh-CN"/>
        </w:rPr>
        <w:t xml:space="preserve">1</w:t>
      </w:r>
      <w:r>
        <w:rPr>
          <w:rFonts w:hint="eastAsia" w:ascii="Times New Roman" w:hAnsi="Times New Roman" w:eastAsia="宋体" w:cs="Times New Roman"/>
          <w:color w:val="auto"/>
          <w:sz w:val="24"/>
          <w:lang w:val="en-US" w:eastAsia="zh-CN"/>
        </w:rPr>
        <w:t xml:space="preserve">3</w:t>
      </w:r>
      <w:r>
        <w:rPr>
          <w:rFonts w:hint="eastAsia" w:ascii="Times New Roman" w:hAnsi="Times New Roman" w:eastAsia="宋体" w:cs="Times New Roman"/>
          <w:color w:val="auto"/>
          <w:sz w:val="24"/>
          <w:lang w:eastAsia="zh-CN"/>
        </w:rPr>
        <w:t xml:space="preserve">、未经甲方同意，如乙方单方面终止服务项目，甲方有权要求乙方强制履行或解除合同，有权要求乙方退还已收取的未完成服务部分的相应经费并赔偿由此造成的一切损失，包括但不限于重新确定服务承办方的全部支出。</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14、</w:t>
      </w:r>
      <w:r>
        <w:rPr>
          <w:rFonts w:hint="eastAsia" w:ascii="Times New Roman" w:hAnsi="Times New Roman" w:eastAsia="宋体" w:cs="Times New Roman"/>
          <w:color w:val="auto"/>
          <w:sz w:val="24"/>
          <w:lang w:eastAsia="zh-CN"/>
        </w:rPr>
        <w:t xml:space="preserve">甲方有权将乙方应承担的违约金及赔偿从合同价款中扣除，同时不影响合同项目的其他补救方法。</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15、</w:t>
      </w:r>
      <w:r>
        <w:rPr>
          <w:rFonts w:hint="eastAsia" w:ascii="Times New Roman" w:hAnsi="Times New Roman" w:eastAsia="宋体" w:cs="Times New Roman"/>
          <w:color w:val="auto"/>
          <w:sz w:val="24"/>
          <w:lang w:eastAsia="zh-CN"/>
        </w:rPr>
        <w:t xml:space="preserve">在甲方发出索赔通知后20天内，如乙方未作答复，上述索赔应视为已被接受。</w:t>
      </w:r>
      <w:r/>
    </w:p>
    <w:p>
      <w:pPr>
        <w:ind w:left="0" w:firstLine="480"/>
        <w:keepLines w:val="0"/>
        <w:keepNext w:val="0"/>
        <w:pageBreakBefore w:val="0"/>
        <w:spacing w:line="288" w:lineRule="auto"/>
        <w:widowControl w:val="off"/>
        <w:rPr>
          <w:rFonts w:hint="eastAsia" w:ascii="黑体" w:hAnsi="黑体" w:eastAsia="黑体" w:cs="黑体"/>
          <w:color w:val="auto"/>
          <w:sz w:val="24"/>
          <w:lang w:val="en-US" w:eastAsia="zh-CN"/>
        </w:rPr>
      </w:pPr>
      <w:r>
        <w:rPr>
          <w:rFonts w:hint="eastAsia" w:ascii="黑体" w:hAnsi="黑体" w:eastAsia="黑体" w:cs="黑体"/>
          <w:color w:val="auto"/>
          <w:sz w:val="24"/>
          <w:lang w:val="en-US" w:eastAsia="zh-CN"/>
        </w:rPr>
        <w:t xml:space="preserve">十二、其它约定事项</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lang w:eastAsia="zh-CN"/>
        </w:rPr>
        <w:t xml:space="preserve">甲乙双方应通过友好协商，解决在执行本合同中所发生的或与本合同有关的一切争议纠纷。协商不成，可向甲方所在地人民法院提起诉讼。诉讼进行过程中，除双方有争议的部分外，本合同其他部分仍然有效，双方应继续履行。</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2、</w:t>
      </w:r>
      <w:r>
        <w:rPr>
          <w:rFonts w:hint="eastAsia" w:ascii="Times New Roman" w:hAnsi="Times New Roman" w:eastAsia="宋体" w:cs="Times New Roman"/>
          <w:color w:val="auto"/>
          <w:sz w:val="24"/>
          <w:lang w:eastAsia="zh-CN"/>
        </w:rPr>
        <w:t xml:space="preserve">本合同一式五份，甲方、乙方各执两份，政府采购监督管理部门一份备案，自甲、乙双方法定代表人或委托代理人签字并加盖单位公章之日起生效，合同具有同等效力。合同的双方当事人不得擅自变更、中止或者终止合同。</w:t>
      </w:r>
      <w:r/>
    </w:p>
    <w:p>
      <w:pPr>
        <w:ind w:left="0" w:firstLine="480"/>
        <w:keepLines w:val="0"/>
        <w:keepNext w:val="0"/>
        <w:pageBreakBefore w:val="0"/>
        <w:spacing w:line="288" w:lineRule="auto"/>
        <w:widowControl w:val="off"/>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 xml:space="preserve">3、本合同条款、中标通知书、采购文件、投标文件及投标人在投标时的书面承诺等构成合同的组成部分。</w:t>
      </w:r>
      <w:r>
        <w:rPr>
          <w:rFonts w:hint="eastAsia" w:ascii="Times New Roman" w:hAnsi="Times New Roman" w:eastAsia="宋体" w:cs="Times New Roman"/>
          <w:color w:val="auto"/>
          <w:sz w:val="24"/>
          <w:lang w:eastAsia="zh-CN"/>
        </w:rPr>
        <w:t xml:space="preserve">合同签订的内容不能超出采购文件和投标文件的实质性内容。</w:t>
      </w:r>
      <w:r/>
    </w:p>
    <w:p>
      <w:pPr>
        <w:ind w:firstLine="420"/>
        <w:jc w:val="both"/>
        <w:widowControl w:val="off"/>
        <w:rPr>
          <w:rFonts w:hint="default" w:ascii="宋体" w:hAnsi="宋体" w:eastAsia="宋体" w:cs="宋体"/>
          <w:color w:val="auto"/>
          <w:sz w:val="24"/>
          <w:szCs w:val="24"/>
          <w:lang w:val="en-US" w:eastAsia="zh-CN" w:bidi="zh-CN"/>
        </w:rPr>
      </w:pPr>
      <w:r>
        <w:rPr>
          <w:rFonts w:hint="default" w:ascii="宋体" w:hAnsi="宋体" w:eastAsia="宋体" w:cs="宋体"/>
          <w:color w:val="auto"/>
          <w:sz w:val="24"/>
          <w:szCs w:val="24"/>
          <w:lang w:val="en-US" w:eastAsia="zh-CN" w:bidi="zh-CN"/>
        </w:rPr>
      </w:r>
      <w:r/>
    </w:p>
    <w:p>
      <w:pPr>
        <w:ind w:firstLine="420"/>
        <w:jc w:val="both"/>
        <w:widowControl w:val="off"/>
        <w:rPr>
          <w:rFonts w:hint="default" w:ascii="宋体" w:hAnsi="宋体" w:eastAsia="宋体" w:cs="宋体"/>
          <w:color w:val="auto"/>
          <w:sz w:val="24"/>
          <w:szCs w:val="24"/>
          <w:lang w:val="en-US" w:eastAsia="zh-CN" w:bidi="zh-CN"/>
        </w:rPr>
      </w:pPr>
      <w:r>
        <w:rPr>
          <w:rFonts w:hint="default" w:ascii="宋体" w:hAnsi="宋体" w:eastAsia="宋体" w:cs="宋体"/>
          <w:color w:val="auto"/>
          <w:sz w:val="24"/>
          <w:szCs w:val="24"/>
          <w:lang w:val="en-US" w:eastAsia="zh-CN" w:bidi="zh-CN"/>
        </w:rPr>
      </w:r>
      <w:r/>
    </w:p>
    <w:p>
      <w:pPr>
        <w:ind w:firstLine="420"/>
        <w:jc w:val="both"/>
        <w:widowControl w:val="off"/>
        <w:rPr>
          <w:rFonts w:hint="default" w:ascii="宋体" w:hAnsi="宋体" w:eastAsia="宋体" w:cs="宋体"/>
          <w:color w:val="auto"/>
          <w:sz w:val="24"/>
          <w:szCs w:val="24"/>
          <w:lang w:val="en-US" w:eastAsia="zh-CN" w:bidi="zh-CN"/>
        </w:rPr>
      </w:pPr>
      <w:r>
        <w:rPr>
          <w:rFonts w:hint="default" w:ascii="宋体" w:hAnsi="宋体" w:eastAsia="宋体" w:cs="宋体"/>
          <w:color w:val="auto"/>
          <w:sz w:val="24"/>
          <w:szCs w:val="24"/>
          <w:lang w:val="en-US" w:eastAsia="zh-CN" w:bidi="zh-CN"/>
        </w:rPr>
      </w:r>
      <w:r/>
    </w:p>
    <w:tbl>
      <w:tblPr>
        <w:tblStyle w:val="7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8"/>
        <w:gridCol w:w="4258"/>
      </w:tblGrid>
      <w:tr>
        <w:trPr>
          <w:trHeight w:val="870"/>
        </w:trPr>
        <w:tc>
          <w:tcPr>
            <w:tcW w:w="2500" w:type="pct"/>
            <w:vAlign w:val="center"/>
            <w:textDirection w:val="lrTb"/>
            <w:noWrap w:val="false"/>
          </w:tcPr>
          <w:p>
            <w:pPr>
              <w:spacing w:line="26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甲方（盖章）：</w:t>
            </w:r>
            <w:r>
              <w:rPr>
                <w:rFonts w:hint="eastAsia" w:ascii="宋体" w:hAnsi="宋体" w:eastAsia="宋体" w:cs="宋体"/>
                <w:color w:val="000000"/>
                <w:sz w:val="24"/>
                <w:szCs w:val="24"/>
                <w:u w:val="single"/>
              </w:rPr>
              <w:t xml:space="preserve">徐州市沛县生态环境</w:t>
            </w:r>
            <w:r>
              <w:rPr>
                <w:rFonts w:hint="eastAsia" w:ascii="宋体" w:hAnsi="宋体" w:eastAsia="宋体" w:cs="宋体"/>
                <w:color w:val="000000"/>
                <w:sz w:val="24"/>
                <w:szCs w:val="24"/>
                <w:u w:val="single"/>
                <w:lang w:val="en-US" w:eastAsia="zh-CN"/>
              </w:rPr>
              <w:t xml:space="preserve">局</w:t>
            </w:r>
            <w:r/>
          </w:p>
        </w:tc>
        <w:tc>
          <w:tcPr>
            <w:tcW w:w="2500" w:type="pct"/>
            <w:vAlign w:val="center"/>
            <w:textDirection w:val="lrTb"/>
            <w:noWrap w:val="false"/>
          </w:tcPr>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乙方（盖章）：</w:t>
            </w:r>
            <w:r/>
          </w:p>
        </w:tc>
      </w:tr>
      <w:tr>
        <w:trPr>
          <w:trHeight w:val="795"/>
        </w:trPr>
        <w:tc>
          <w:tcPr>
            <w:tcW w:w="2500" w:type="pct"/>
            <w:vAlign w:val="center"/>
            <w:textDirection w:val="lrTb"/>
            <w:noWrap w:val="false"/>
          </w:tcPr>
          <w:p>
            <w:pPr>
              <w:jc w:val="left"/>
              <w:spacing w:line="260" w:lineRule="exact"/>
              <w:widowControl/>
              <w:rPr>
                <w:rFonts w:ascii="宋体" w:hAnsi="宋体" w:eastAsia="宋体" w:cs="宋体"/>
                <w:color w:val="auto"/>
                <w:sz w:val="24"/>
                <w:szCs w:val="24"/>
                <w:lang w:bidi="zh-CN"/>
              </w:rPr>
            </w:pPr>
            <w:r>
              <w:rPr>
                <w:rFonts w:ascii="宋体" w:hAnsi="宋体" w:eastAsia="宋体" w:cs="宋体"/>
                <w:color w:val="auto"/>
                <w:sz w:val="24"/>
                <w:szCs w:val="24"/>
                <w:lang w:bidi="zh-CN"/>
              </w:rPr>
              <w:t xml:space="preserve">统一社会信用代码：</w:t>
            </w:r>
            <w:r/>
          </w:p>
          <w:p>
            <w:pPr>
              <w:jc w:val="left"/>
              <w:spacing w:line="260" w:lineRule="exact"/>
              <w:widowControl/>
              <w:rPr>
                <w:rFonts w:hint="eastAsia" w:ascii="宋体" w:hAnsi="宋体" w:eastAsia="宋体" w:cs="宋体"/>
                <w:color w:val="000000"/>
                <w:sz w:val="24"/>
                <w:szCs w:val="24"/>
              </w:rPr>
            </w:pPr>
            <w:r>
              <w:rPr>
                <w:rFonts w:hint="eastAsia" w:ascii="宋体" w:hAnsi="宋体" w:eastAsia="宋体" w:cs="宋体"/>
                <w:color w:val="auto"/>
                <w:sz w:val="24"/>
                <w:szCs w:val="24"/>
                <w:u w:val="single"/>
                <w:lang w:bidi="zh-CN"/>
              </w:rPr>
              <w:t xml:space="preserve">1132 0322 0140 8418 80</w:t>
            </w:r>
            <w:r/>
          </w:p>
        </w:tc>
        <w:tc>
          <w:tcPr>
            <w:tcW w:w="2500" w:type="pct"/>
            <w:vAlign w:val="center"/>
            <w:textDirection w:val="lrTb"/>
            <w:noWrap w:val="false"/>
          </w:tcPr>
          <w:p>
            <w:pPr>
              <w:jc w:val="left"/>
              <w:spacing w:line="260" w:lineRule="exact"/>
              <w:widowControl/>
              <w:rPr>
                <w:rFonts w:hint="eastAsia" w:ascii="宋体" w:hAnsi="宋体" w:eastAsia="宋体" w:cs="宋体"/>
                <w:color w:val="000000"/>
                <w:sz w:val="24"/>
                <w:szCs w:val="24"/>
              </w:rPr>
            </w:pPr>
            <w:r>
              <w:rPr>
                <w:rFonts w:ascii="宋体" w:hAnsi="宋体" w:eastAsia="宋体" w:cs="宋体"/>
                <w:color w:val="auto"/>
                <w:sz w:val="24"/>
                <w:szCs w:val="24"/>
                <w:lang w:bidi="zh-CN"/>
              </w:rPr>
              <w:t xml:space="preserve">统一社会信用代码：</w:t>
            </w:r>
            <w:r/>
          </w:p>
        </w:tc>
      </w:tr>
      <w:tr>
        <w:trPr>
          <w:trHeight w:val="1225"/>
        </w:trPr>
        <w:tc>
          <w:tcPr>
            <w:tcW w:w="2500" w:type="pct"/>
            <w:vAlign w:val="center"/>
            <w:textDirection w:val="lrTb"/>
            <w:noWrap w:val="false"/>
          </w:tcPr>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w:t>
            </w:r>
            <w:r/>
          </w:p>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授权代表(签名)：</w:t>
            </w:r>
            <w:r/>
          </w:p>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p>
        </w:tc>
        <w:tc>
          <w:tcPr>
            <w:tcW w:w="2500" w:type="pct"/>
            <w:vAlign w:val="center"/>
            <w:textDirection w:val="lrTb"/>
            <w:noWrap w:val="false"/>
          </w:tcPr>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w:t>
            </w:r>
            <w:r/>
          </w:p>
          <w:p>
            <w:pPr>
              <w:spacing w:line="26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授权代表(签名)：</w:t>
            </w:r>
            <w:r/>
          </w:p>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26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联系人：</w:t>
            </w:r>
            <w:r/>
          </w:p>
        </w:tc>
      </w:tr>
      <w:tr>
        <w:trPr>
          <w:trHeight w:val="609"/>
        </w:trPr>
        <w:tc>
          <w:tcPr>
            <w:tcW w:w="2500" w:type="pct"/>
            <w:vAlign w:val="center"/>
            <w:textDirection w:val="lrTb"/>
            <w:noWrap w:val="false"/>
          </w:tcPr>
          <w:p>
            <w:pPr>
              <w:spacing w:line="26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地址：</w:t>
            </w:r>
            <w:r>
              <w:rPr>
                <w:rFonts w:hint="eastAsia" w:ascii="宋体" w:hAnsi="宋体" w:eastAsia="宋体" w:cs="宋体"/>
                <w:color w:val="000000"/>
                <w:sz w:val="24"/>
                <w:szCs w:val="24"/>
                <w:u w:val="single"/>
                <w:lang w:eastAsia="zh-CN"/>
              </w:rPr>
              <w:t xml:space="preserve">江苏省徐州市沛县沛公路2号</w:t>
            </w:r>
            <w:r/>
          </w:p>
        </w:tc>
        <w:tc>
          <w:tcPr>
            <w:tcW w:w="2500" w:type="pct"/>
            <w:vAlign w:val="center"/>
            <w:textDirection w:val="lrTb"/>
            <w:noWrap w:val="false"/>
          </w:tcPr>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地址：</w:t>
            </w:r>
            <w:r/>
          </w:p>
        </w:tc>
      </w:tr>
      <w:tr>
        <w:trPr>
          <w:trHeight w:val="489"/>
        </w:trPr>
        <w:tc>
          <w:tcPr>
            <w:tcW w:w="2500" w:type="pct"/>
            <w:vAlign w:val="center"/>
            <w:textDirection w:val="lrTb"/>
            <w:noWrap w:val="false"/>
          </w:tcPr>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0516-68868767</w:t>
            </w:r>
            <w:r/>
          </w:p>
        </w:tc>
        <w:tc>
          <w:tcPr>
            <w:tcW w:w="2500" w:type="pct"/>
            <w:vAlign w:val="center"/>
            <w:textDirection w:val="lrTb"/>
            <w:noWrap w:val="false"/>
          </w:tcPr>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p>
        </w:tc>
      </w:tr>
      <w:tr>
        <w:trPr>
          <w:trHeight w:val="690"/>
        </w:trPr>
        <w:tc>
          <w:tcPr>
            <w:tcW w:w="2500" w:type="pct"/>
            <w:vAlign w:val="center"/>
            <w:textDirection w:val="lrTb"/>
            <w:noWrap w:val="false"/>
          </w:tcPr>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中国建设银行股份有限公司沛县沛城支行</w:t>
            </w:r>
            <w:r/>
          </w:p>
        </w:tc>
        <w:tc>
          <w:tcPr>
            <w:tcW w:w="2500" w:type="pct"/>
            <w:vAlign w:val="center"/>
            <w:textDirection w:val="lrTb"/>
            <w:noWrap w:val="false"/>
          </w:tcPr>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p>
        </w:tc>
      </w:tr>
      <w:tr>
        <w:trPr>
          <w:trHeight w:val="534"/>
        </w:trPr>
        <w:tc>
          <w:tcPr>
            <w:tcW w:w="2500" w:type="pct"/>
            <w:vAlign w:val="center"/>
            <w:textDirection w:val="lrTb"/>
            <w:noWrap w:val="false"/>
          </w:tcPr>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帐号：</w:t>
            </w:r>
            <w:r>
              <w:rPr>
                <w:rFonts w:hint="eastAsia" w:ascii="宋体" w:hAnsi="宋体" w:eastAsia="宋体" w:cs="宋体"/>
                <w:color w:val="000000"/>
                <w:sz w:val="24"/>
                <w:szCs w:val="24"/>
                <w:u w:val="single"/>
              </w:rPr>
              <w:t xml:space="preserve">3205 0171 7238 0886 6888</w:t>
            </w:r>
            <w:r/>
          </w:p>
        </w:tc>
        <w:tc>
          <w:tcPr>
            <w:tcW w:w="2500" w:type="pct"/>
            <w:vAlign w:val="center"/>
            <w:textDirection w:val="lrTb"/>
            <w:noWrap w:val="false"/>
          </w:tcPr>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    号：</w:t>
            </w:r>
            <w:r/>
          </w:p>
        </w:tc>
      </w:tr>
      <w:tr>
        <w:trPr>
          <w:trHeight w:val="559"/>
        </w:trPr>
        <w:tc>
          <w:tcPr>
            <w:gridSpan w:val="2"/>
            <w:tcW w:w="5000" w:type="pct"/>
            <w:vAlign w:val="center"/>
            <w:textDirection w:val="lrTb"/>
            <w:noWrap w:val="false"/>
          </w:tcPr>
          <w:p>
            <w:pPr>
              <w:spacing w:line="2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日</w:t>
            </w:r>
            <w:r/>
          </w:p>
        </w:tc>
      </w:tr>
    </w:tbl>
    <w:p>
      <w:pPr>
        <w:rPr>
          <w:rFonts w:hint="eastAsia" w:ascii="宋体" w:hAnsi="宋体" w:cs="宋体"/>
          <w:sz w:val="30"/>
          <w:szCs w:val="30"/>
          <w:highlight w:val="none"/>
        </w:rPr>
      </w:pPr>
      <w:r>
        <w:rPr>
          <w:rFonts w:hint="eastAsia" w:ascii="宋体" w:hAnsi="宋体" w:cs="宋体"/>
          <w:sz w:val="30"/>
          <w:szCs w:val="30"/>
          <w:highlight w:val="none"/>
        </w:rPr>
        <w:br w:type="page" w:clear="all"/>
      </w:r>
      <w:r/>
    </w:p>
    <w:p>
      <w:pPr>
        <w:ind w:firstLine="600"/>
        <w:jc w:val="center"/>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合同附件</w:t>
      </w:r>
      <w:r/>
    </w:p>
    <w:p>
      <w:pPr>
        <w:ind w:firstLine="600"/>
        <w:jc w:val="center"/>
        <w:spacing w:line="520" w:lineRule="exact"/>
        <w:rPr>
          <w:rFonts w:hint="eastAsia" w:ascii="宋体" w:hAnsi="宋体" w:cs="宋体"/>
          <w:sz w:val="30"/>
          <w:szCs w:val="30"/>
          <w:highlight w:val="green"/>
        </w:rPr>
      </w:pPr>
      <w:r>
        <w:rPr>
          <w:rFonts w:hint="eastAsia" w:ascii="宋体" w:hAnsi="宋体" w:cs="宋体"/>
          <w:sz w:val="30"/>
          <w:szCs w:val="30"/>
          <w:highlight w:val="green"/>
        </w:rPr>
      </w:r>
      <w:r/>
    </w:p>
    <w:p>
      <w:pPr>
        <w:ind w:firstLine="600"/>
        <w:jc w:val="center"/>
        <w:spacing w:line="520" w:lineRule="exact"/>
        <w:rPr>
          <w:rFonts w:hint="eastAsia" w:ascii="宋体" w:hAnsi="宋体" w:cs="宋体"/>
          <w:sz w:val="30"/>
          <w:szCs w:val="30"/>
        </w:rPr>
      </w:pPr>
      <w:r>
        <w:rPr>
          <w:rFonts w:hint="eastAsia" w:ascii="宋体" w:hAnsi="宋体" w:cs="宋体"/>
          <w:sz w:val="30"/>
          <w:szCs w:val="30"/>
        </w:rPr>
        <w:t xml:space="preserve">目录</w:t>
      </w:r>
      <w:r/>
    </w:p>
    <w:p>
      <w:pPr>
        <w:ind w:firstLine="600"/>
        <w:spacing w:line="520" w:lineRule="exact"/>
        <w:rPr>
          <w:rFonts w:hint="eastAsia" w:ascii="宋体" w:hAnsi="宋体" w:cs="宋体"/>
          <w:sz w:val="24"/>
        </w:rPr>
      </w:pPr>
      <w:r>
        <w:rPr>
          <w:rFonts w:hint="eastAsia" w:ascii="宋体" w:hAnsi="宋体" w:cs="宋体"/>
          <w:sz w:val="24"/>
        </w:rPr>
        <w:t xml:space="preserve">合同附件1：合同协议书</w:t>
      </w:r>
      <w:r/>
    </w:p>
    <w:p>
      <w:pPr>
        <w:ind w:firstLine="600"/>
        <w:spacing w:line="520" w:lineRule="exact"/>
        <w:rPr>
          <w:rFonts w:hint="eastAsia" w:ascii="宋体" w:hAnsi="宋体" w:cs="宋体"/>
          <w:sz w:val="24"/>
        </w:rPr>
      </w:pPr>
      <w:r>
        <w:rPr>
          <w:rFonts w:hint="eastAsia" w:ascii="宋体" w:hAnsi="宋体" w:cs="宋体"/>
          <w:sz w:val="24"/>
        </w:rPr>
        <w:t xml:space="preserve">合同附件2：技术规格和技术性能</w:t>
      </w:r>
      <w:r/>
    </w:p>
    <w:p>
      <w:pPr>
        <w:ind w:firstLine="600"/>
        <w:spacing w:line="520" w:lineRule="exact"/>
        <w:rPr>
          <w:rFonts w:hint="eastAsia" w:ascii="宋体" w:hAnsi="宋体" w:cs="宋体"/>
          <w:sz w:val="24"/>
        </w:rPr>
      </w:pPr>
      <w:r>
        <w:rPr>
          <w:rFonts w:hint="eastAsia" w:ascii="宋体" w:hAnsi="宋体" w:cs="宋体"/>
          <w:sz w:val="24"/>
        </w:rPr>
        <w:t xml:space="preserve">(要求见招标文件第六章《采购需求》；合同见卖方投标文件。)</w:t>
      </w:r>
      <w:r/>
    </w:p>
    <w:p>
      <w:pPr>
        <w:ind w:firstLine="600"/>
        <w:spacing w:line="520" w:lineRule="exact"/>
        <w:rPr>
          <w:rFonts w:hint="eastAsia" w:ascii="宋体" w:hAnsi="宋体" w:cs="宋体"/>
          <w:sz w:val="24"/>
        </w:rPr>
      </w:pPr>
      <w:r>
        <w:rPr>
          <w:rFonts w:hint="eastAsia" w:ascii="宋体" w:hAnsi="宋体" w:cs="宋体"/>
          <w:sz w:val="24"/>
        </w:rPr>
        <w:t xml:space="preserve">合同附件3：售后服务</w:t>
      </w:r>
      <w:r/>
    </w:p>
    <w:p>
      <w:pPr>
        <w:ind w:firstLine="600"/>
        <w:spacing w:line="520" w:lineRule="exact"/>
        <w:rPr>
          <w:rFonts w:hint="eastAsia" w:ascii="宋体" w:hAnsi="宋体" w:cs="宋体"/>
          <w:sz w:val="24"/>
        </w:rPr>
      </w:pPr>
      <w:r>
        <w:rPr>
          <w:rFonts w:hint="eastAsia" w:ascii="宋体" w:hAnsi="宋体" w:cs="宋体"/>
          <w:sz w:val="24"/>
        </w:rPr>
        <w:t xml:space="preserve">(要求见招标文件第六章《采购需求》；合同见卖方投标文件。)</w:t>
      </w:r>
      <w:r/>
    </w:p>
    <w:p>
      <w:pPr>
        <w:ind w:firstLine="600"/>
        <w:spacing w:line="520" w:lineRule="exact"/>
        <w:rPr>
          <w:rFonts w:hint="eastAsia" w:ascii="宋体" w:hAnsi="宋体" w:cs="宋体"/>
          <w:sz w:val="24"/>
        </w:rPr>
      </w:pPr>
      <w:r>
        <w:rPr>
          <w:rFonts w:hint="eastAsia" w:ascii="宋体" w:hAnsi="宋体" w:cs="宋体"/>
          <w:sz w:val="24"/>
        </w:rPr>
        <w:t xml:space="preserve">合同附件4：</w:t>
      </w:r>
      <w:r>
        <w:rPr>
          <w:rFonts w:hint="eastAsia" w:ascii="宋体" w:hAnsi="宋体" w:cs="宋体"/>
          <w:sz w:val="24"/>
          <w:highlight w:val="none"/>
        </w:rPr>
        <w:t xml:space="preserve">供货范围和价格清单</w:t>
      </w:r>
      <w:r/>
    </w:p>
    <w:p>
      <w:pPr>
        <w:ind w:firstLine="600"/>
        <w:spacing w:line="520" w:lineRule="exact"/>
        <w:rPr>
          <w:rFonts w:hint="eastAsia" w:ascii="宋体" w:hAnsi="宋体" w:cs="宋体"/>
          <w:sz w:val="24"/>
        </w:rPr>
      </w:pPr>
      <w:r>
        <w:rPr>
          <w:rFonts w:hint="eastAsia" w:ascii="宋体" w:hAnsi="宋体" w:cs="宋体"/>
          <w:sz w:val="24"/>
        </w:rPr>
        <w:t xml:space="preserve">(要求见招标文件第七章《投标文件相关格式》中《开标一览表》和《分项价格表》；合同见卖方投标文件。)</w:t>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合同附件1：</w:t>
      </w:r>
      <w:r/>
    </w:p>
    <w:p>
      <w:pPr>
        <w:ind w:firstLine="600"/>
        <w:jc w:val="center"/>
        <w:spacing w:line="520" w:lineRule="exact"/>
        <w:rPr>
          <w:rFonts w:hint="eastAsia" w:ascii="宋体" w:hAnsi="宋体" w:cs="宋体"/>
          <w:sz w:val="24"/>
        </w:rPr>
      </w:pPr>
      <w:r>
        <w:rPr>
          <w:rFonts w:hint="eastAsia" w:ascii="宋体" w:hAnsi="宋体" w:cs="宋体"/>
          <w:sz w:val="24"/>
        </w:rPr>
        <w:t xml:space="preserve">合同协议书</w:t>
      </w:r>
      <w:r/>
    </w:p>
    <w:p>
      <w:pPr>
        <w:ind w:firstLine="600"/>
        <w:spacing w:line="520" w:lineRule="exact"/>
        <w:rPr>
          <w:rFonts w:hint="eastAsia" w:ascii="宋体" w:hAnsi="宋体" w:cs="宋体"/>
          <w:sz w:val="24"/>
        </w:rPr>
      </w:pPr>
      <w:r>
        <w:rPr>
          <w:rFonts w:hint="eastAsia" w:ascii="宋体" w:hAnsi="宋体" w:cs="宋体"/>
          <w:sz w:val="24"/>
        </w:rPr>
        <w:t xml:space="preserve">合同编号:____________ </w:t>
      </w:r>
      <w:r/>
    </w:p>
    <w:p>
      <w:pPr>
        <w:ind w:firstLine="600"/>
        <w:spacing w:line="520" w:lineRule="exact"/>
        <w:rPr>
          <w:rFonts w:hint="eastAsia" w:ascii="宋体" w:hAnsi="宋体" w:cs="宋体"/>
          <w:sz w:val="24"/>
        </w:rPr>
      </w:pPr>
      <w:r>
        <w:rPr>
          <w:rFonts w:hint="eastAsia" w:ascii="宋体" w:hAnsi="宋体" w:cs="宋体"/>
          <w:sz w:val="24"/>
        </w:rPr>
        <w:t xml:space="preserve">签字日期:____________ </w:t>
      </w:r>
      <w:r/>
    </w:p>
    <w:p>
      <w:pPr>
        <w:ind w:firstLine="600"/>
        <w:spacing w:line="520" w:lineRule="exact"/>
        <w:rPr>
          <w:rFonts w:hint="eastAsia" w:ascii="宋体" w:hAnsi="宋体" w:cs="宋体"/>
          <w:sz w:val="24"/>
        </w:rPr>
      </w:pPr>
      <w:r>
        <w:rPr>
          <w:rFonts w:hint="eastAsia" w:ascii="宋体" w:hAnsi="宋体" w:cs="宋体"/>
          <w:sz w:val="24"/>
        </w:rPr>
        <w:t xml:space="preserve">签字地点:____________ </w:t>
      </w:r>
      <w:r/>
    </w:p>
    <w:p>
      <w:pPr>
        <w:ind w:firstLine="600"/>
        <w:spacing w:line="52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（买方名称）（以下简称“买方”）已接受</w:t>
      </w:r>
      <w:r>
        <w:rPr>
          <w:rFonts w:hint="eastAsia" w:ascii="宋体" w:hAnsi="宋体" w:cs="宋体"/>
          <w:sz w:val="24"/>
          <w:u w:val="single"/>
        </w:rPr>
        <w:t xml:space="preserve">        </w:t>
      </w:r>
      <w:r>
        <w:rPr>
          <w:rFonts w:hint="eastAsia" w:ascii="宋体" w:hAnsi="宋体" w:cs="宋体"/>
          <w:sz w:val="24"/>
        </w:rPr>
        <w:t xml:space="preserve">（卖方名称）（以下简称“卖方”）对</w:t>
      </w:r>
      <w:r>
        <w:rPr>
          <w:rFonts w:hint="eastAsia" w:ascii="宋体" w:hAnsi="宋体" w:cs="宋体"/>
          <w:sz w:val="24"/>
          <w:u w:val="single"/>
        </w:rPr>
        <w:t xml:space="preserve">             </w:t>
      </w:r>
      <w:r>
        <w:rPr>
          <w:rFonts w:hint="eastAsia" w:ascii="宋体" w:hAnsi="宋体" w:cs="宋体"/>
          <w:sz w:val="24"/>
        </w:rPr>
        <w:t xml:space="preserve">（项目名称）（项目编号：</w:t>
      </w:r>
      <w:r>
        <w:rPr>
          <w:rFonts w:hint="eastAsia" w:ascii="宋体" w:hAnsi="宋体" w:cs="宋体"/>
          <w:sz w:val="24"/>
          <w:u w:val="single"/>
        </w:rPr>
        <w:t xml:space="preserve">   </w:t>
      </w:r>
      <w:r>
        <w:rPr>
          <w:rFonts w:hint="eastAsia" w:ascii="宋体" w:hAnsi="宋体" w:cs="宋体"/>
          <w:sz w:val="24"/>
        </w:rPr>
        <w:t xml:space="preserve">）的投标。买方和卖方共同达成如下协议。</w:t>
      </w:r>
      <w:r/>
    </w:p>
    <w:p>
      <w:pPr>
        <w:ind w:firstLine="600"/>
        <w:spacing w:line="520" w:lineRule="exact"/>
        <w:rPr>
          <w:rFonts w:hint="eastAsia" w:ascii="宋体" w:hAnsi="宋体" w:cs="宋体"/>
          <w:sz w:val="24"/>
        </w:rPr>
      </w:pPr>
      <w:r>
        <w:rPr>
          <w:rFonts w:hint="eastAsia" w:ascii="宋体" w:hAnsi="宋体" w:cs="宋体"/>
          <w:sz w:val="24"/>
        </w:rPr>
        <w:t xml:space="preserve">1.本合同协议书中的词语和术语的含义与合同条款中定义的相同。</w:t>
      </w:r>
      <w:r/>
    </w:p>
    <w:p>
      <w:pPr>
        <w:ind w:firstLine="600"/>
        <w:spacing w:line="520" w:lineRule="exact"/>
        <w:rPr>
          <w:rFonts w:hint="eastAsia" w:ascii="宋体" w:hAnsi="宋体" w:cs="宋体"/>
          <w:sz w:val="24"/>
        </w:rPr>
      </w:pPr>
      <w:r>
        <w:rPr>
          <w:rFonts w:hint="eastAsia" w:ascii="宋体" w:hAnsi="宋体" w:cs="宋体"/>
          <w:sz w:val="24"/>
        </w:rPr>
        <w:t xml:space="preserve">2.以下文件应构成买方和卖方之间达成的合同，若各文件之间存在含糊不清或互相冲突之处，优先顺序应按下列文件顺序解释。</w:t>
      </w:r>
      <w:r/>
    </w:p>
    <w:p>
      <w:pPr>
        <w:ind w:firstLine="600"/>
        <w:spacing w:line="520" w:lineRule="exact"/>
        <w:rPr>
          <w:rFonts w:hint="eastAsia" w:ascii="宋体" w:hAnsi="宋体" w:cs="宋体"/>
          <w:sz w:val="24"/>
        </w:rPr>
      </w:pPr>
      <w:r>
        <w:rPr>
          <w:rFonts w:hint="eastAsia" w:ascii="宋体" w:hAnsi="宋体" w:cs="宋体"/>
          <w:sz w:val="24"/>
        </w:rPr>
        <w:t xml:space="preserve">(1) 合同协议书</w:t>
      </w:r>
      <w:r/>
    </w:p>
    <w:p>
      <w:pPr>
        <w:ind w:firstLine="600"/>
        <w:spacing w:line="520" w:lineRule="exact"/>
        <w:rPr>
          <w:rFonts w:hint="eastAsia" w:ascii="宋体" w:hAnsi="宋体" w:cs="宋体"/>
          <w:sz w:val="24"/>
        </w:rPr>
      </w:pPr>
      <w:r>
        <w:rPr>
          <w:rFonts w:hint="eastAsia" w:ascii="宋体" w:hAnsi="宋体" w:cs="宋体"/>
          <w:sz w:val="24"/>
        </w:rPr>
        <w:t xml:space="preserve">(2) 中标通知书</w:t>
      </w:r>
      <w:r/>
    </w:p>
    <w:p>
      <w:pPr>
        <w:ind w:firstLine="600"/>
        <w:spacing w:line="520" w:lineRule="exact"/>
        <w:rPr>
          <w:rFonts w:hint="eastAsia" w:ascii="宋体" w:hAnsi="宋体" w:cs="宋体"/>
          <w:sz w:val="24"/>
        </w:rPr>
      </w:pPr>
      <w:r>
        <w:rPr>
          <w:rFonts w:hint="eastAsia" w:ascii="宋体" w:hAnsi="宋体" w:cs="宋体"/>
          <w:sz w:val="24"/>
        </w:rPr>
        <w:t xml:space="preserve">(3) 合同专用条款</w:t>
      </w:r>
      <w:r/>
    </w:p>
    <w:p>
      <w:pPr>
        <w:ind w:firstLine="600"/>
        <w:spacing w:line="520" w:lineRule="exact"/>
        <w:rPr>
          <w:rFonts w:hint="eastAsia" w:ascii="宋体" w:hAnsi="宋体" w:cs="宋体"/>
          <w:sz w:val="24"/>
        </w:rPr>
      </w:pPr>
      <w:r>
        <w:rPr>
          <w:rFonts w:hint="eastAsia" w:ascii="宋体" w:hAnsi="宋体" w:cs="宋体"/>
          <w:sz w:val="24"/>
        </w:rPr>
        <w:t xml:space="preserve">(4) 合同通用条款</w:t>
      </w:r>
      <w:r/>
    </w:p>
    <w:p>
      <w:pPr>
        <w:ind w:firstLine="600"/>
        <w:spacing w:line="520" w:lineRule="exact"/>
        <w:rPr>
          <w:rFonts w:hint="eastAsia" w:ascii="宋体" w:hAnsi="宋体" w:cs="宋体"/>
          <w:sz w:val="24"/>
        </w:rPr>
      </w:pPr>
      <w:r>
        <w:rPr>
          <w:rFonts w:hint="eastAsia" w:ascii="宋体" w:hAnsi="宋体" w:cs="宋体"/>
          <w:sz w:val="24"/>
        </w:rPr>
        <w:t xml:space="preserve">(5) 除合同附件1外的合同附件</w:t>
      </w:r>
      <w:r/>
    </w:p>
    <w:p>
      <w:pPr>
        <w:ind w:firstLine="600"/>
        <w:spacing w:line="520" w:lineRule="exact"/>
        <w:rPr>
          <w:rFonts w:hint="eastAsia" w:ascii="宋体" w:hAnsi="宋体" w:cs="宋体"/>
          <w:sz w:val="24"/>
        </w:rPr>
      </w:pPr>
      <w:r>
        <w:rPr>
          <w:rFonts w:hint="eastAsia" w:ascii="宋体" w:hAnsi="宋体" w:cs="宋体"/>
          <w:sz w:val="24"/>
        </w:rPr>
        <w:t xml:space="preserve">(6) 其他文件</w:t>
      </w:r>
      <w:r/>
    </w:p>
    <w:p>
      <w:pPr>
        <w:ind w:firstLine="600"/>
        <w:spacing w:line="520" w:lineRule="exact"/>
        <w:rPr>
          <w:rFonts w:hint="eastAsia" w:ascii="宋体" w:hAnsi="宋体" w:cs="宋体"/>
          <w:sz w:val="24"/>
        </w:rPr>
      </w:pPr>
      <w:r>
        <w:rPr>
          <w:rFonts w:hint="eastAsia" w:ascii="宋体" w:hAnsi="宋体" w:cs="宋体"/>
          <w:sz w:val="24"/>
        </w:rPr>
        <w:t xml:space="preserve">3.考虑到买方将按照本合同向卖方支付合同价款，卖方在此保证全部按照合同的规定向买方提供合同标的、技术资料、售后服务及技术培训。</w:t>
      </w:r>
      <w:r/>
    </w:p>
    <w:p>
      <w:pPr>
        <w:ind w:firstLine="600"/>
        <w:spacing w:line="520" w:lineRule="exact"/>
        <w:rPr>
          <w:rFonts w:hint="eastAsia" w:ascii="宋体" w:hAnsi="宋体" w:cs="宋体"/>
          <w:sz w:val="24"/>
        </w:rPr>
      </w:pPr>
      <w:r>
        <w:rPr>
          <w:rFonts w:hint="eastAsia" w:ascii="宋体" w:hAnsi="宋体" w:cs="宋体"/>
          <w:sz w:val="24"/>
        </w:rPr>
        <w:t xml:space="preserve">4.考虑到卖方将按合同规定提供合同标的、技术资料、售后服务及技术培训，买方在此保证按照合同规定的时间和方式向卖方支付合同价款。</w:t>
      </w:r>
      <w:r/>
    </w:p>
    <w:p>
      <w:pPr>
        <w:ind w:firstLine="600"/>
        <w:spacing w:line="520" w:lineRule="exact"/>
        <w:rPr>
          <w:rFonts w:hint="eastAsia" w:ascii="宋体" w:hAnsi="宋体" w:cs="宋体"/>
          <w:sz w:val="24"/>
        </w:rPr>
      </w:pPr>
      <w:r>
        <w:rPr>
          <w:rFonts w:hint="eastAsia" w:ascii="宋体" w:hAnsi="宋体" w:cs="宋体"/>
          <w:sz w:val="24"/>
        </w:rPr>
        <w:t xml:space="preserve">5.本合同在下列条件全部满足后生效，生效日期以下列条件全部满足的最晚日期为准： </w:t>
      </w:r>
      <w:r/>
    </w:p>
    <w:p>
      <w:pPr>
        <w:ind w:firstLine="600"/>
        <w:spacing w:line="520" w:lineRule="exact"/>
        <w:rPr>
          <w:rFonts w:hint="eastAsia" w:ascii="宋体" w:hAnsi="宋体" w:cs="宋体"/>
          <w:sz w:val="24"/>
        </w:rPr>
      </w:pPr>
      <w:r>
        <w:rPr>
          <w:rFonts w:hint="eastAsia" w:ascii="宋体" w:hAnsi="宋体" w:cs="宋体"/>
          <w:sz w:val="24"/>
        </w:rPr>
        <w:t xml:space="preserve">(1) 双方加盖公章或合同专用章；</w:t>
      </w:r>
      <w:r/>
    </w:p>
    <w:p>
      <w:pPr>
        <w:ind w:firstLine="600"/>
        <w:spacing w:line="520" w:lineRule="exact"/>
        <w:rPr>
          <w:rFonts w:hint="eastAsia" w:ascii="宋体" w:hAnsi="宋体" w:cs="宋体"/>
          <w:sz w:val="24"/>
        </w:rPr>
      </w:pPr>
      <w:r>
        <w:rPr>
          <w:rFonts w:hint="eastAsia" w:ascii="宋体" w:hAnsi="宋体" w:cs="宋体"/>
          <w:sz w:val="24"/>
        </w:rPr>
        <w:t xml:space="preserve">6.合同一式</w:t>
      </w:r>
      <w:r>
        <w:rPr>
          <w:rFonts w:hint="eastAsia" w:ascii="宋体" w:hAnsi="宋体" w:cs="宋体"/>
          <w:sz w:val="24"/>
          <w:u w:val="single"/>
        </w:rPr>
        <w:t xml:space="preserve">    </w:t>
      </w:r>
      <w:r>
        <w:rPr>
          <w:rFonts w:hint="eastAsia" w:ascii="宋体" w:hAnsi="宋体" w:cs="宋体"/>
          <w:sz w:val="24"/>
        </w:rPr>
        <w:t xml:space="preserve">份，具有同等法律效力，买方</w:t>
      </w:r>
      <w:r>
        <w:rPr>
          <w:rFonts w:hint="eastAsia" w:ascii="宋体" w:hAnsi="宋体" w:cs="宋体"/>
          <w:sz w:val="24"/>
          <w:u w:val="single"/>
        </w:rPr>
        <w:t xml:space="preserve">   </w:t>
      </w:r>
      <w:r>
        <w:rPr>
          <w:rFonts w:hint="eastAsia" w:ascii="宋体" w:hAnsi="宋体" w:cs="宋体"/>
          <w:sz w:val="24"/>
        </w:rPr>
        <w:t xml:space="preserve">份，卖方</w:t>
      </w:r>
      <w:r>
        <w:rPr>
          <w:rFonts w:hint="eastAsia" w:ascii="宋体" w:hAnsi="宋体" w:cs="宋体"/>
          <w:sz w:val="24"/>
          <w:u w:val="single"/>
        </w:rPr>
        <w:t xml:space="preserve">   </w:t>
      </w:r>
      <w:r>
        <w:rPr>
          <w:rFonts w:hint="eastAsia" w:ascii="宋体" w:hAnsi="宋体" w:cs="宋体"/>
          <w:sz w:val="24"/>
        </w:rPr>
        <w:t xml:space="preserve">份。</w:t>
      </w:r>
      <w:r/>
    </w:p>
    <w:p>
      <w:pPr>
        <w:ind w:firstLine="600"/>
        <w:spacing w:line="520" w:lineRule="exact"/>
        <w:rPr>
          <w:rFonts w:hint="eastAsia" w:ascii="宋体" w:hAnsi="宋体" w:cs="宋体"/>
          <w:sz w:val="24"/>
        </w:rPr>
      </w:pPr>
      <w:r>
        <w:rPr>
          <w:rFonts w:hint="eastAsia" w:ascii="宋体" w:hAnsi="宋体" w:cs="宋体"/>
          <w:sz w:val="24"/>
        </w:rPr>
        <w:t xml:space="preserve">7.本合同其他未尽事宜及与采购文件有矛盾之处，以采购文件[项目编号：</w:t>
      </w:r>
      <w:r>
        <w:rPr>
          <w:rFonts w:hint="eastAsia" w:ascii="宋体" w:hAnsi="宋体" w:cs="宋体"/>
          <w:sz w:val="24"/>
          <w:u w:val="single"/>
        </w:rPr>
        <w:t xml:space="preserve">             </w:t>
      </w:r>
      <w:r>
        <w:rPr>
          <w:rFonts w:hint="eastAsia" w:ascii="宋体" w:hAnsi="宋体" w:cs="宋体"/>
          <w:sz w:val="24"/>
        </w:rPr>
        <w:t xml:space="preserve">]为准。</w:t>
      </w:r>
      <w:r/>
    </w:p>
    <w:p>
      <w:pPr>
        <w:ind w:firstLine="600"/>
        <w:spacing w:line="520" w:lineRule="exact"/>
        <w:rPr>
          <w:rFonts w:hint="eastAsia" w:ascii="宋体" w:hAnsi="宋体" w:cs="宋体"/>
          <w:sz w:val="24"/>
        </w:rPr>
      </w:pPr>
      <w:r>
        <w:rPr>
          <w:rFonts w:hint="eastAsia" w:ascii="宋体" w:hAnsi="宋体" w:cs="宋体"/>
          <w:sz w:val="24"/>
        </w:rPr>
        <w:t xml:space="preserve">买方和卖方由其正式授权代表于上述所写日期和地点签订本合同。</w:t>
      </w:r>
      <w:r/>
    </w:p>
    <w:p>
      <w:pPr>
        <w:ind w:firstLine="600"/>
        <w:spacing w:line="520" w:lineRule="exact"/>
        <w:rPr>
          <w:rFonts w:hint="eastAsia" w:ascii="宋体" w:hAnsi="宋体" w:cs="宋体"/>
          <w:sz w:val="24"/>
        </w:rPr>
      </w:pPr>
      <w:r>
        <w:rPr>
          <w:rFonts w:hint="eastAsia" w:ascii="宋体" w:hAnsi="宋体" w:cs="宋体"/>
          <w:sz w:val="24"/>
        </w:rPr>
        <w:t xml:space="preserve">买方（签章）： </w:t>
      </w:r>
      <w:r/>
    </w:p>
    <w:p>
      <w:pPr>
        <w:ind w:firstLine="600"/>
        <w:spacing w:line="520" w:lineRule="exact"/>
        <w:rPr>
          <w:rFonts w:hint="eastAsia" w:ascii="宋体" w:hAnsi="宋体" w:cs="宋体"/>
          <w:sz w:val="24"/>
        </w:rPr>
      </w:pPr>
      <w:r>
        <w:rPr>
          <w:rFonts w:hint="eastAsia" w:ascii="宋体" w:hAnsi="宋体" w:cs="宋体"/>
          <w:sz w:val="24"/>
        </w:rPr>
        <w:t xml:space="preserve">法定代表人或授权代表(签名)： </w:t>
      </w:r>
      <w:r/>
    </w:p>
    <w:p>
      <w:pPr>
        <w:ind w:firstLine="600"/>
        <w:spacing w:line="520" w:lineRule="exact"/>
        <w:rPr>
          <w:rFonts w:hint="eastAsia" w:ascii="宋体" w:hAnsi="宋体" w:cs="宋体"/>
          <w:sz w:val="24"/>
        </w:rPr>
      </w:pPr>
      <w:r>
        <w:rPr>
          <w:rFonts w:hint="eastAsia" w:ascii="宋体" w:hAnsi="宋体" w:cs="宋体"/>
          <w:sz w:val="24"/>
        </w:rPr>
        <w:t xml:space="preserve">卖方（签章）： </w:t>
      </w:r>
      <w:r/>
    </w:p>
    <w:p>
      <w:pPr>
        <w:ind w:firstLine="600"/>
        <w:spacing w:line="520" w:lineRule="exact"/>
        <w:rPr>
          <w:rFonts w:hint="eastAsia" w:ascii="宋体" w:hAnsi="宋体" w:cs="宋体"/>
          <w:sz w:val="24"/>
        </w:rPr>
      </w:pPr>
      <w:r>
        <w:rPr>
          <w:rFonts w:hint="eastAsia" w:ascii="宋体" w:hAnsi="宋体" w:cs="宋体"/>
          <w:sz w:val="24"/>
        </w:rPr>
        <w:t xml:space="preserve">法定代表人或授权代表(签名)： </w:t>
      </w:r>
      <w:r/>
    </w:p>
    <w:p>
      <w:pPr>
        <w:ind w:firstLine="600"/>
        <w:spacing w:line="520" w:lineRule="exact"/>
        <w:rPr>
          <w:rFonts w:hint="eastAsia" w:ascii="宋体" w:hAnsi="宋体" w:cs="宋体"/>
          <w:sz w:val="24"/>
        </w:rPr>
      </w:pPr>
      <w:r>
        <w:rPr>
          <w:rFonts w:hint="eastAsia" w:ascii="宋体" w:hAnsi="宋体" w:cs="宋体"/>
          <w:sz w:val="24"/>
        </w:rPr>
        <w:t xml:space="preserve">部门负责人(签名)：</w:t>
      </w:r>
      <w:r/>
    </w:p>
    <w:p>
      <w:pPr>
        <w:ind w:firstLine="600"/>
        <w:spacing w:line="520" w:lineRule="exact"/>
        <w:rPr>
          <w:rFonts w:hint="eastAsia" w:ascii="宋体" w:hAnsi="宋体" w:cs="宋体"/>
          <w:sz w:val="24"/>
        </w:rPr>
      </w:pPr>
      <w:r>
        <w:rPr>
          <w:rFonts w:hint="eastAsia" w:ascii="宋体" w:hAnsi="宋体" w:cs="宋体"/>
          <w:sz w:val="24"/>
        </w:rPr>
        <w:t xml:space="preserve">使用部门经手人(签名)：</w:t>
      </w:r>
      <w:r/>
    </w:p>
    <w:p>
      <w:pPr>
        <w:ind w:firstLine="600"/>
        <w:spacing w:line="520" w:lineRule="exact"/>
        <w:rPr>
          <w:rFonts w:hint="eastAsia" w:ascii="宋体" w:hAnsi="宋体" w:cs="宋体"/>
          <w:sz w:val="24"/>
        </w:rPr>
      </w:pPr>
      <w:r>
        <w:rPr>
          <w:rFonts w:hint="eastAsia" w:ascii="宋体" w:hAnsi="宋体" w:cs="宋体"/>
          <w:sz w:val="24"/>
        </w:rPr>
        <w:t xml:space="preserve">开户银行： </w:t>
      </w:r>
      <w:r/>
    </w:p>
    <w:p>
      <w:pPr>
        <w:ind w:firstLine="600"/>
        <w:spacing w:line="520" w:lineRule="exact"/>
        <w:rPr>
          <w:rFonts w:hint="eastAsia" w:ascii="宋体" w:hAnsi="宋体" w:cs="宋体"/>
          <w:sz w:val="24"/>
        </w:rPr>
      </w:pPr>
      <w:r>
        <w:rPr>
          <w:rFonts w:hint="eastAsia" w:ascii="宋体" w:hAnsi="宋体" w:cs="宋体"/>
          <w:sz w:val="24"/>
        </w:rPr>
        <w:t xml:space="preserve">银行帐号：</w:t>
      </w:r>
      <w:r/>
    </w:p>
    <w:p>
      <w:pPr>
        <w:jc w:val="left"/>
        <w:spacing w:line="360" w:lineRule="exact"/>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pStyle w:val="762"/>
        <w:rPr>
          <w:rFonts w:hint="eastAsia" w:ascii="宋体" w:hAnsi="宋体" w:cs="宋体"/>
          <w:sz w:val="30"/>
          <w:szCs w:val="30"/>
        </w:rPr>
      </w:pPr>
      <w:r>
        <w:rPr>
          <w:rFonts w:hint="eastAsia" w:ascii="宋体" w:hAnsi="宋体" w:cs="宋体"/>
          <w:sz w:val="30"/>
          <w:szCs w:val="30"/>
        </w:rPr>
      </w:r>
      <w:r/>
    </w:p>
    <w:p>
      <w:pPr>
        <w:numPr>
          <w:ilvl w:val="0"/>
          <w:numId w:val="2"/>
        </w:numPr>
        <w:jc w:val="center"/>
        <w:spacing w:line="288" w:lineRule="auto"/>
        <w:rPr>
          <w:rFonts w:ascii="仿宋_GB2312" w:hAnsi="宋体" w:eastAsia="仿宋_GB2312"/>
          <w:b/>
          <w:sz w:val="32"/>
          <w:szCs w:val="32"/>
        </w:rPr>
      </w:pPr>
      <w:r>
        <w:rPr>
          <w:rFonts w:hint="eastAsia" w:ascii="仿宋_GB2312" w:hAnsi="宋体" w:eastAsia="仿宋_GB2312"/>
          <w:b/>
          <w:sz w:val="32"/>
          <w:szCs w:val="32"/>
        </w:rPr>
        <w:t xml:space="preserve"> 采购需求</w:t>
      </w:r>
      <w:bookmarkStart w:id="0" w:name="_Toc324452802"/>
      <w:r/>
      <w:bookmarkEnd w:id="0"/>
      <w:r/>
      <w:bookmarkStart w:id="1" w:name="_Toc322457054"/>
      <w:r/>
      <w:bookmarkEnd w:id="1"/>
      <w:r/>
      <w:r/>
    </w:p>
    <w:p>
      <w:pPr>
        <w:jc w:val="center"/>
        <w:spacing w:line="239"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spacing w:line="560" w:lineRule="exact"/>
        <w:rPr>
          <w:rFonts w:hint="eastAsia" w:ascii="Times New Roman" w:hAnsi="Times New Roman" w:eastAsia="宋体" w:cs="宋体"/>
          <w:b/>
          <w:bCs/>
          <w:sz w:val="24"/>
          <w:szCs w:val="21"/>
        </w:rPr>
        <w:outlineLvl w:val="0"/>
      </w:pPr>
      <w:r>
        <w:rPr>
          <w:rFonts w:hint="eastAsia" w:ascii="Times New Roman" w:hAnsi="Times New Roman" w:eastAsia="宋体" w:cs="宋体"/>
          <w:b/>
          <w:bCs/>
          <w:sz w:val="24"/>
          <w:szCs w:val="21"/>
        </w:rPr>
        <w:t xml:space="preserve">一、项目概况</w:t>
      </w:r>
      <w:r/>
    </w:p>
    <w:p>
      <w:pPr>
        <w:spacing w:line="560" w:lineRule="exact"/>
        <w:rPr>
          <w:rFonts w:hint="eastAsia" w:ascii="Times New Roman" w:hAnsi="Times New Roman" w:eastAsia="宋体" w:cs="宋体"/>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sz w:val="24"/>
          <w:szCs w:val="21"/>
        </w:rPr>
        <w:t xml:space="preserve">1、项目名称：</w:t>
      </w:r>
      <w:r>
        <w:rPr>
          <w:rFonts w:hint="eastAsia" w:ascii="Times New Roman" w:hAnsi="Times New Roman" w:eastAsia="宋体" w:cs="宋体"/>
          <w:sz w:val="24"/>
          <w:szCs w:val="21"/>
          <w:lang w:val="en-US" w:eastAsia="zh-CN"/>
        </w:rPr>
        <w:t xml:space="preserve">沛县饮用水源地监测监控能力提升建设项目</w:t>
      </w:r>
      <w:r/>
    </w:p>
    <w:p>
      <w:pPr>
        <w:spacing w:line="560" w:lineRule="exact"/>
        <w:rPr>
          <w:rFonts w:hint="eastAsia" w:ascii="Times New Roman" w:hAnsi="Times New Roman" w:eastAsia="宋体" w:cs="宋体"/>
          <w:sz w:val="24"/>
          <w:szCs w:val="21"/>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sz w:val="24"/>
          <w:szCs w:val="21"/>
          <w:lang w:val="en-US" w:eastAsia="zh-CN"/>
        </w:rPr>
        <w:t xml:space="preserve">2、本项目采购预算总金额650万元，本项目不接受超过采购预算的报价。投标人报价应包括其他有关的所有费用，包括但不限于人工、材料、机械、工具设备、验收、售后服务、利润、税金等政策性文件规定及合同包含的所有风险、责任等各项应有费用。投标人应充分了解该项目的总体情况、各类市场风险以及影响投标报价的其他要素风险。采购人不再支付报价以外的任何费用。</w:t>
      </w:r>
      <w:r/>
    </w:p>
    <w:p>
      <w:pPr>
        <w:spacing w:line="560" w:lineRule="exact"/>
        <w:rPr>
          <w:rFonts w:hint="eastAsia" w:ascii="Times New Roman" w:hAnsi="Times New Roman" w:eastAsia="宋体" w:cs="宋体"/>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sz w:val="24"/>
          <w:szCs w:val="21"/>
        </w:rPr>
        <w:t xml:space="preserve">3、合同履行的期限：合同生效日后，90日历天内完成交付并安装调试完毕并投入使用。</w:t>
      </w:r>
      <w:r/>
    </w:p>
    <w:p>
      <w:pPr>
        <w:spacing w:line="560" w:lineRule="exact"/>
        <w:rPr>
          <w:rFonts w:hint="eastAsia" w:ascii="Times New Roman" w:hAnsi="Times New Roman" w:eastAsia="宋体" w:cs="宋体"/>
          <w:b w:val="0"/>
          <w:bCs w:val="0"/>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560" w:lineRule="exact"/>
        <w:rPr>
          <w:rFonts w:hint="eastAsia" w:ascii="Times New Roman" w:hAnsi="Times New Roman" w:eastAsia="宋体" w:cs="宋体"/>
          <w:b/>
          <w:bCs/>
          <w:sz w:val="24"/>
          <w:szCs w:val="21"/>
        </w:rPr>
        <w:outlineLvl w:val="0"/>
      </w:pPr>
      <w:r>
        <w:rPr>
          <w:rFonts w:hint="eastAsia" w:ascii="Times New Roman" w:hAnsi="Times New Roman" w:eastAsia="宋体" w:cs="宋体"/>
          <w:b/>
          <w:bCs/>
          <w:sz w:val="24"/>
          <w:szCs w:val="21"/>
        </w:rPr>
        <w:t xml:space="preserve">二、质保期</w:t>
      </w:r>
      <w:r/>
    </w:p>
    <w:p>
      <w:pPr>
        <w:ind w:firstLine="480"/>
        <w:spacing w:line="560" w:lineRule="exact"/>
        <w:rPr>
          <w:rFonts w:hint="eastAsia" w:ascii="Times New Roman" w:hAnsi="Times New Roman" w:eastAsia="宋体" w:cs="宋体"/>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sz w:val="24"/>
          <w:szCs w:val="21"/>
        </w:rPr>
        <w:t xml:space="preserve">自项目验收通过之日起</w:t>
      </w:r>
      <w:r>
        <w:rPr>
          <w:rFonts w:hint="eastAsia" w:ascii="Times New Roman" w:hAnsi="Times New Roman" w:eastAsia="宋体" w:cs="宋体"/>
          <w:sz w:val="24"/>
          <w:szCs w:val="21"/>
          <w:lang w:val="en-US" w:eastAsia="zh-CN"/>
        </w:rPr>
        <w:t xml:space="preserve">2</w:t>
      </w:r>
      <w:r>
        <w:rPr>
          <w:rFonts w:hint="eastAsia" w:ascii="Times New Roman" w:hAnsi="Times New Roman" w:eastAsia="宋体" w:cs="宋体"/>
          <w:sz w:val="24"/>
          <w:szCs w:val="21"/>
        </w:rPr>
        <w:t xml:space="preserve">年。</w:t>
      </w:r>
      <w:r/>
    </w:p>
    <w:p>
      <w:pPr>
        <w:spacing w:line="560" w:lineRule="exact"/>
        <w:rPr>
          <w:rFonts w:hint="eastAsia" w:ascii="Times New Roman" w:hAnsi="Times New Roman" w:eastAsia="宋体" w:cs="宋体"/>
          <w:b/>
          <w:bCs/>
          <w:sz w:val="24"/>
          <w:szCs w:val="21"/>
        </w:rPr>
        <w:outlineLvl w:val="0"/>
      </w:pPr>
      <w:r>
        <w:rPr>
          <w:rFonts w:hint="eastAsia" w:ascii="Times New Roman" w:hAnsi="Times New Roman" w:eastAsia="宋体" w:cs="宋体"/>
          <w:b/>
          <w:bCs/>
          <w:sz w:val="24"/>
          <w:szCs w:val="21"/>
        </w:rPr>
        <w:t xml:space="preserve">三、建设内容</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rPr>
        <w:t xml:space="preserve">（1）水质自动监测站检测指标增补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rPr>
        <w:t xml:space="preserve">指标增补：根据《地表水环境质量标准》（GB3838-2002）中水源地特定项目。在现有监测体系基础上，新增VOC、生物毒性、挥发酚、重金属（如铅、铜、镉、锌、砷等）及藻密度等监测模块</w:t>
      </w:r>
      <w:r>
        <w:rPr>
          <w:rFonts w:hint="eastAsia" w:ascii="Times New Roman" w:hAnsi="Times New Roman" w:eastAsia="宋体" w:cs="宋体"/>
          <w:b w:val="0"/>
          <w:bCs w:val="0"/>
          <w:sz w:val="24"/>
          <w:szCs w:val="21"/>
          <w:lang w:eastAsia="zh-CN"/>
        </w:rPr>
        <w:t xml:space="preserve">。</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2</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智能化改造：</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rPr>
        <w:t xml:space="preserve">根据项目需要，对现有水站监测指标分析仪器、水站集成、水站运维及水站数据应用进行智能化升级改造。</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rPr>
        <w:t xml:space="preserve">（</w:t>
      </w:r>
      <w:r>
        <w:rPr>
          <w:rFonts w:hint="eastAsia" w:ascii="Times New Roman" w:hAnsi="Times New Roman" w:eastAsia="宋体" w:cs="宋体"/>
          <w:b w:val="0"/>
          <w:bCs w:val="0"/>
          <w:sz w:val="24"/>
          <w:szCs w:val="21"/>
          <w:lang w:val="en-US" w:eastAsia="zh-CN"/>
        </w:rPr>
        <w:t xml:space="preserve">3</w:t>
      </w:r>
      <w:r>
        <w:rPr>
          <w:rFonts w:hint="eastAsia" w:ascii="Times New Roman" w:hAnsi="Times New Roman" w:eastAsia="宋体" w:cs="宋体"/>
          <w:b w:val="0"/>
          <w:bCs w:val="0"/>
          <w:sz w:val="24"/>
          <w:szCs w:val="21"/>
        </w:rPr>
        <w:t xml:space="preserve">）立体化监测网络建设</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rPr>
        <w:t xml:space="preserve">浮标站建设：在南四湖</w:t>
      </w:r>
      <w:r>
        <w:rPr>
          <w:rFonts w:hint="eastAsia" w:cs="宋体"/>
          <w:b w:val="0"/>
          <w:bCs w:val="0"/>
          <w:sz w:val="24"/>
          <w:szCs w:val="21"/>
          <w:lang w:eastAsia="zh-CN"/>
        </w:rPr>
        <w:t xml:space="preserve">丰乐</w:t>
      </w:r>
      <w:r>
        <w:rPr>
          <w:rFonts w:hint="eastAsia" w:ascii="Times New Roman" w:hAnsi="Times New Roman" w:eastAsia="宋体" w:cs="宋体"/>
          <w:b w:val="0"/>
          <w:bCs w:val="0"/>
          <w:sz w:val="24"/>
          <w:szCs w:val="21"/>
        </w:rPr>
        <w:t xml:space="preserve">水源地关键区域布设水质监测浮标站，实时监测叶绿素a、藻密度及气象参数，数据实时传输至监管平台。</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lang w:val="en-US" w:eastAsia="zh-CN"/>
        </w:rPr>
        <w:t xml:space="preserve">智能管控终端：建设智能管控终端，能够实现等比例混合采样、同步备份采样（平行样）、远程即时采样等多种采样功能</w:t>
      </w:r>
      <w:r>
        <w:rPr>
          <w:rFonts w:hint="eastAsia" w:ascii="Times New Roman" w:hAnsi="Times New Roman" w:eastAsia="宋体" w:cs="宋体"/>
          <w:b w:val="0"/>
          <w:bCs w:val="0"/>
          <w:sz w:val="24"/>
          <w:szCs w:val="21"/>
        </w:rPr>
        <w:t xml:space="preserve">。</w:t>
      </w:r>
      <w:r/>
    </w:p>
    <w:p>
      <w:pPr>
        <w:ind w:firstLine="480"/>
        <w:keepLines w:val="0"/>
        <w:keepNext w:val="0"/>
        <w:pageBreakBefore w:val="0"/>
        <w:spacing w:line="560" w:lineRule="exact"/>
        <w:widowControl w:val="off"/>
        <w:rPr>
          <w:rFonts w:hint="default" w:ascii="Times New Roman" w:hAnsi="Times New Roman" w:eastAsia="宋体" w:cs="宋体"/>
          <w:b w:val="0"/>
          <w:bCs w:val="0"/>
          <w:sz w:val="24"/>
          <w:szCs w:val="21"/>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lang w:val="en-US" w:eastAsia="zh-CN"/>
        </w:rPr>
        <w:t xml:space="preserve">全自动多通道水质分析仪：建设包含高锰酸盐指数、化学需氧量、总磷、总氮、氨氮的水质分析仪，高效、精准、批量地完成水体中多种关键指标的定量分析，为水源地水质评价、污染溯源、风险预警提供科学数据支撑。</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rPr>
        <w:t xml:space="preserve">（4）运维保障体系建设</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rPr>
        <w:t xml:space="preserve">制定智能化设备运维规范，开展人员技术培训；建立第三方质控核查机制，确保监测数据省级平台联网准确性。</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val="0"/>
          <w:bCs w:val="0"/>
          <w:sz w:val="24"/>
          <w:szCs w:val="21"/>
        </w:rPr>
        <w:t xml:space="preserve">通过以上任务实施，最终形成“多指标监测—智能运维—立体预警—精准管控”的水源地监管模式，全面保障沛县饮用水安全。</w:t>
      </w:r>
      <w:r/>
    </w:p>
    <w:p>
      <w:pPr>
        <w:ind w:firstLine="3373"/>
        <w:spacing w:line="560" w:lineRule="exact"/>
        <w:rPr>
          <w:rFonts w:hint="eastAsia" w:ascii="Times New Roman" w:hAnsi="Times New Roman" w:eastAsia="宋体" w:cs="宋体"/>
          <w:b/>
          <w:bCs/>
          <w:sz w:val="24"/>
          <w:szCs w:val="21"/>
        </w:rPr>
        <w:pBdr>
          <w:top w:val="none" w:color="auto" w:sz="0" w:space="0"/>
          <w:left w:val="none" w:color="auto" w:sz="0" w:space="0"/>
          <w:bottom w:val="none" w:color="auto" w:sz="0" w:space="0"/>
          <w:right w:val="none" w:color="auto" w:sz="0" w:space="0"/>
        </w:pBdr>
      </w:pPr>
      <w:r>
        <w:rPr>
          <w:rFonts w:hint="eastAsia" w:ascii="Times New Roman" w:hAnsi="Times New Roman" w:eastAsia="宋体" w:cs="宋体"/>
          <w:b/>
          <w:bCs/>
          <w:sz w:val="24"/>
          <w:szCs w:val="21"/>
        </w:rPr>
        <w:t xml:space="preserve">采购清单</w:t>
      </w:r>
      <w:r/>
    </w:p>
    <w:tbl>
      <w:tblPr>
        <w:tblStyle w:val="75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1487"/>
        <w:gridCol w:w="5541"/>
      </w:tblGrid>
      <w:tr>
        <w:trPr>
          <w:trHeight w:val="280"/>
        </w:trPr>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lang w:val="en-US" w:eastAsia="zh-CN"/>
              </w:rPr>
              <w:suppressLineNumbers w:val="0"/>
            </w:pPr>
            <w:r>
              <w:rPr>
                <w:rFonts w:hint="eastAsia" w:ascii="Times New Roman" w:hAnsi="Times New Roman" w:eastAsia="宋体" w:cs="仿宋_GB2312"/>
                <w:i w:val="0"/>
                <w:iCs w:val="0"/>
                <w:color w:val="000000"/>
                <w:sz w:val="24"/>
                <w:szCs w:val="21"/>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lang w:val="en-US" w:eastAsia="zh-CN"/>
              </w:rPr>
              <w:suppressLineNumbers w:val="0"/>
            </w:pPr>
            <w:r>
              <w:rPr>
                <w:rFonts w:hint="eastAsia" w:ascii="Times New Roman" w:hAnsi="Times New Roman" w:eastAsia="宋体" w:cs="仿宋_GB2312"/>
                <w:i w:val="0"/>
                <w:iCs w:val="0"/>
                <w:color w:val="000000"/>
                <w:sz w:val="24"/>
                <w:szCs w:val="21"/>
                <w:u w:val="none"/>
                <w:lang w:val="en-US" w:eastAsia="zh-CN"/>
              </w:rPr>
              <w:t xml:space="preserve">建设项目</w:t>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lang w:val="en-US" w:eastAsia="zh-CN"/>
              </w:rPr>
              <w:suppressLineNumbers w:val="0"/>
            </w:pPr>
            <w:r>
              <w:rPr>
                <w:rFonts w:hint="eastAsia" w:ascii="Times New Roman" w:hAnsi="Times New Roman" w:eastAsia="宋体" w:cs="仿宋_GB2312"/>
                <w:i w:val="0"/>
                <w:iCs w:val="0"/>
                <w:color w:val="000000"/>
                <w:sz w:val="24"/>
                <w:szCs w:val="21"/>
                <w:u w:val="none"/>
                <w:lang w:val="en-US" w:eastAsia="zh-CN"/>
              </w:rPr>
              <w:t xml:space="preserve">具体内容</w:t>
            </w:r>
            <w:r/>
          </w:p>
        </w:tc>
      </w:tr>
      <w:tr>
        <w:trPr>
          <w:trHeight w:val="280"/>
        </w:trPr>
        <w:tc>
          <w:tcPr>
            <w:tcBorders>
              <w:top w:val="single" w:color="000000" w:sz="4" w:space="0"/>
              <w:left w:val="single" w:color="000000" w:sz="4" w:space="0"/>
              <w:right w:val="single" w:color="000000" w:sz="4" w:space="0"/>
            </w:tcBorders>
            <w:tcW w:w="1486" w:type="dxa"/>
            <w:vAlign w:val="center"/>
            <w:vMerge w:val="restart"/>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lang w:val="en-US" w:eastAsia="zh-CN"/>
              </w:rPr>
              <w:suppressLineNumbers w:val="0"/>
            </w:pPr>
            <w:r>
              <w:rPr>
                <w:rFonts w:hint="eastAsia" w:ascii="Times New Roman" w:hAnsi="Times New Roman" w:eastAsia="宋体" w:cs="仿宋_GB2312"/>
                <w:i w:val="0"/>
                <w:iCs w:val="0"/>
                <w:color w:val="000000"/>
                <w:sz w:val="24"/>
                <w:szCs w:val="21"/>
                <w:u w:val="none"/>
                <w:lang w:val="en-US" w:eastAsia="zh-CN"/>
              </w:rPr>
              <w:t xml:space="preserve">1</w:t>
            </w:r>
            <w:r/>
          </w:p>
        </w:tc>
        <w:tc>
          <w:tcPr>
            <w:tcBorders>
              <w:top w:val="single" w:color="000000" w:sz="4" w:space="0"/>
              <w:left w:val="single" w:color="000000" w:sz="4" w:space="0"/>
              <w:right w:val="single" w:color="000000" w:sz="4" w:space="0"/>
            </w:tcBorders>
            <w:tcW w:w="1488" w:type="dxa"/>
            <w:vAlign w:val="center"/>
            <w:vMerge w:val="restart"/>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水质监测指标增补</w:t>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重金属水质分析仪（铅、铜、镉）</w:t>
            </w:r>
            <w:r/>
          </w:p>
        </w:tc>
      </w:tr>
      <w:tr>
        <w:trPr>
          <w:trHeight w:val="280"/>
        </w:trPr>
        <w:tc>
          <w:tcPr>
            <w:tcBorders>
              <w:left w:val="single" w:color="000000" w:sz="4" w:space="0"/>
              <w:right w:val="single" w:color="000000" w:sz="4" w:space="0"/>
            </w:tcBorders>
            <w:tcW w:w="1486"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left w:val="single" w:color="000000" w:sz="4" w:space="0"/>
              <w:right w:val="single" w:color="000000" w:sz="4" w:space="0"/>
            </w:tcBorders>
            <w:tcW w:w="1488"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重金属水质分析仪（锌）</w:t>
            </w:r>
            <w:r/>
          </w:p>
        </w:tc>
      </w:tr>
      <w:tr>
        <w:trPr>
          <w:trHeight w:val="280"/>
        </w:trPr>
        <w:tc>
          <w:tcPr>
            <w:tcBorders>
              <w:left w:val="single" w:color="000000" w:sz="4" w:space="0"/>
              <w:right w:val="single" w:color="000000" w:sz="4" w:space="0"/>
            </w:tcBorders>
            <w:tcW w:w="1486"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left w:val="single" w:color="000000" w:sz="4" w:space="0"/>
              <w:right w:val="single" w:color="000000" w:sz="4" w:space="0"/>
            </w:tcBorders>
            <w:tcW w:w="1488"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重金属水质分析仪（砷）</w:t>
            </w:r>
            <w:r/>
          </w:p>
        </w:tc>
      </w:tr>
      <w:tr>
        <w:trPr>
          <w:trHeight w:val="280"/>
        </w:trPr>
        <w:tc>
          <w:tcPr>
            <w:tcBorders>
              <w:left w:val="single" w:color="000000" w:sz="4" w:space="0"/>
              <w:right w:val="single" w:color="000000" w:sz="4" w:space="0"/>
            </w:tcBorders>
            <w:tcW w:w="1486"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left w:val="single" w:color="000000" w:sz="4" w:space="0"/>
              <w:right w:val="single" w:color="000000" w:sz="4" w:space="0"/>
            </w:tcBorders>
            <w:tcW w:w="1488"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挥发酚水质分析仪</w:t>
            </w:r>
            <w:r/>
          </w:p>
        </w:tc>
      </w:tr>
      <w:tr>
        <w:trPr>
          <w:trHeight w:val="280"/>
        </w:trPr>
        <w:tc>
          <w:tcPr>
            <w:tcBorders>
              <w:left w:val="single" w:color="000000" w:sz="4" w:space="0"/>
              <w:right w:val="single" w:color="000000" w:sz="4" w:space="0"/>
            </w:tcBorders>
            <w:tcW w:w="1486"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left w:val="single" w:color="000000" w:sz="4" w:space="0"/>
              <w:right w:val="single" w:color="000000" w:sz="4" w:space="0"/>
            </w:tcBorders>
            <w:tcW w:w="1488"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Style w:val="1086"/>
                <w:rFonts w:ascii="Times New Roman" w:hAnsi="Times New Roman" w:eastAsia="宋体"/>
                <w:sz w:val="24"/>
                <w:lang w:val="en-US" w:eastAsia="zh-CN"/>
              </w:rPr>
              <w:t xml:space="preserve">水质</w:t>
            </w:r>
            <w:r>
              <w:rPr>
                <w:rFonts w:ascii="Times New Roman" w:hAnsi="Times New Roman" w:eastAsia="宋体" w:cs="Times New Roman"/>
                <w:color w:val="000000"/>
                <w:sz w:val="24"/>
                <w:szCs w:val="21"/>
                <w:u w:val="none"/>
                <w:lang w:val="en-US" w:eastAsia="zh-CN"/>
              </w:rPr>
              <w:t xml:space="preserve">VOC</w:t>
            </w:r>
            <w:r>
              <w:rPr>
                <w:rStyle w:val="1086"/>
                <w:rFonts w:ascii="Times New Roman" w:hAnsi="Times New Roman" w:eastAsia="宋体"/>
                <w:sz w:val="24"/>
                <w:lang w:val="en-US" w:eastAsia="zh-CN"/>
              </w:rPr>
              <w:t xml:space="preserve">分析仪</w:t>
            </w:r>
            <w:r/>
          </w:p>
        </w:tc>
      </w:tr>
      <w:tr>
        <w:trPr>
          <w:trHeight w:val="280"/>
        </w:trPr>
        <w:tc>
          <w:tcPr>
            <w:tcBorders>
              <w:left w:val="single" w:color="000000" w:sz="4" w:space="0"/>
              <w:right w:val="single" w:color="000000" w:sz="4" w:space="0"/>
            </w:tcBorders>
            <w:tcW w:w="1486"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left w:val="single" w:color="000000" w:sz="4" w:space="0"/>
              <w:right w:val="single" w:color="000000" w:sz="4" w:space="0"/>
            </w:tcBorders>
            <w:tcW w:w="1488"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生物毒性分析仪</w:t>
            </w:r>
            <w:r/>
          </w:p>
        </w:tc>
      </w:tr>
      <w:tr>
        <w:trPr>
          <w:trHeight w:val="280"/>
        </w:trPr>
        <w:tc>
          <w:tcPr>
            <w:tcBorders>
              <w:left w:val="single" w:color="000000" w:sz="4" w:space="0"/>
              <w:right w:val="single" w:color="000000" w:sz="4" w:space="0"/>
            </w:tcBorders>
            <w:tcW w:w="1486"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left w:val="single" w:color="000000" w:sz="4" w:space="0"/>
              <w:right w:val="single" w:color="000000" w:sz="4" w:space="0"/>
            </w:tcBorders>
            <w:tcW w:w="1488" w:type="dxa"/>
            <w:vAlign w:val="center"/>
            <w:vMerge w:val="continue"/>
            <w:textDirection w:val="lrTb"/>
            <w:noWrap w:val="false"/>
          </w:tcPr>
          <w:p>
            <w:pPr>
              <w:jc w:val="center"/>
              <w:spacing w:after="0"/>
              <w:rPr>
                <w:rFonts w:hint="eastAsia" w:ascii="Times New Roman" w:hAnsi="Times New Roman" w:eastAsia="宋体" w:cs="仿宋_GB2312"/>
                <w:i w:val="0"/>
                <w:iCs w:val="0"/>
                <w:color w:val="000000"/>
                <w:sz w:val="24"/>
                <w:szCs w:val="21"/>
                <w:u w:val="none"/>
              </w:rPr>
            </w:pPr>
            <w:r>
              <w:rPr>
                <w:rFonts w:hint="eastAsia" w:ascii="Times New Roman" w:hAnsi="Times New Roman" w:eastAsia="宋体" w:cs="仿宋_GB2312"/>
                <w:i w:val="0"/>
                <w:iCs w:val="0"/>
                <w:color w:val="000000"/>
                <w:sz w:val="24"/>
                <w:szCs w:val="21"/>
                <w:u w:val="none"/>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藻密度分析仪</w:t>
            </w:r>
            <w:r/>
          </w:p>
        </w:tc>
      </w:tr>
      <w:tr>
        <w:trPr>
          <w:trHeight w:val="810"/>
        </w:trPr>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lang w:val="en-US" w:eastAsia="zh-CN"/>
              </w:rPr>
              <w:suppressLineNumbers w:val="0"/>
            </w:pPr>
            <w:r>
              <w:rPr>
                <w:rFonts w:hint="eastAsia" w:ascii="Times New Roman" w:hAnsi="Times New Roman" w:eastAsia="宋体" w:cs="仿宋_GB2312"/>
                <w:i w:val="0"/>
                <w:iCs w:val="0"/>
                <w:color w:val="000000"/>
                <w:sz w:val="24"/>
                <w:szCs w:val="21"/>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水站智能化改造</w:t>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水质监测站智能化改造包含集成部分、视频部分、辅助部分、电子围栏、智慧站房改造及加密传输</w:t>
            </w:r>
            <w:r/>
          </w:p>
        </w:tc>
      </w:tr>
      <w:tr>
        <w:trPr>
          <w:trHeight w:val="810"/>
        </w:trPr>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lang w:val="en-US" w:eastAsia="zh-CN"/>
              </w:rPr>
              <w:suppressLineNumbers w:val="0"/>
            </w:pPr>
            <w:r>
              <w:rPr>
                <w:rFonts w:hint="eastAsia" w:ascii="Times New Roman" w:hAnsi="Times New Roman" w:eastAsia="宋体" w:cs="仿宋_GB2312"/>
                <w:i w:val="0"/>
                <w:iCs w:val="0"/>
                <w:color w:val="000000"/>
                <w:sz w:val="24"/>
                <w:szCs w:val="21"/>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水质监测浮标站</w:t>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水质监测浮标站，包含叶绿素、藻密度、风速、风向、气温、气压参数指标</w:t>
            </w:r>
            <w:r/>
          </w:p>
        </w:tc>
      </w:tr>
      <w:tr>
        <w:trPr>
          <w:trHeight w:val="540"/>
        </w:trPr>
        <w:tc>
          <w:tcPr>
            <w:tcBorders>
              <w:top w:val="single" w:color="000000" w:sz="4" w:space="0"/>
              <w:left w:val="single" w:color="000000" w:sz="4" w:space="0"/>
              <w:right w:val="single" w:color="000000" w:sz="4" w:space="0"/>
            </w:tcBorders>
            <w:tcW w:w="1486" w:type="dxa"/>
            <w:vAlign w:val="center"/>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lang w:val="en-US" w:eastAsia="zh-CN"/>
              </w:rPr>
              <w:suppressLineNumbers w:val="0"/>
            </w:pPr>
            <w:r>
              <w:rPr>
                <w:rFonts w:hint="eastAsia" w:ascii="Times New Roman" w:hAnsi="Times New Roman" w:eastAsia="宋体" w:cs="仿宋_GB2312"/>
                <w:i w:val="0"/>
                <w:iCs w:val="0"/>
                <w:color w:val="000000"/>
                <w:sz w:val="24"/>
                <w:szCs w:val="21"/>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全自动多通道水质分析仪</w:t>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全自动多通道水质分析系统（包含高锰酸盐指数、化学需氧量、总磷、总氮、氨氮等参数的检测模块）及其他配套、辅助设施</w:t>
            </w:r>
            <w:r/>
          </w:p>
        </w:tc>
      </w:tr>
      <w:tr>
        <w:trPr>
          <w:trHeight w:val="540"/>
        </w:trPr>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lang w:val="en-US" w:eastAsia="zh-CN"/>
              </w:rPr>
              <w:suppressLineNumbers w:val="0"/>
            </w:pPr>
            <w:r>
              <w:rPr>
                <w:rFonts w:hint="eastAsia" w:ascii="Times New Roman" w:hAnsi="Times New Roman" w:eastAsia="宋体" w:cs="仿宋_GB2312"/>
                <w:i w:val="0"/>
                <w:iCs w:val="0"/>
                <w:color w:val="000000"/>
                <w:sz w:val="24"/>
                <w:szCs w:val="21"/>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lang w:val="en-US"/>
              </w:rPr>
              <w:suppressLineNumbers w:val="0"/>
            </w:pPr>
            <w:r>
              <w:rPr>
                <w:rFonts w:hint="eastAsia" w:ascii="Times New Roman" w:hAnsi="Times New Roman" w:eastAsia="宋体" w:cs="仿宋_GB2312"/>
                <w:i w:val="0"/>
                <w:iCs w:val="0"/>
                <w:color w:val="000000"/>
                <w:sz w:val="24"/>
                <w:szCs w:val="21"/>
                <w:u w:val="none"/>
                <w:lang w:val="en-US" w:eastAsia="zh-CN"/>
              </w:rPr>
              <w:t xml:space="preserve">智能管控终端</w:t>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keepLines w:val="0"/>
              <w:keepNext w:val="0"/>
              <w:spacing w:after="0"/>
              <w:widowControl/>
              <w:rPr>
                <w:rFonts w:hint="eastAsia" w:ascii="Times New Roman" w:hAnsi="Times New Roman" w:eastAsia="宋体" w:cs="仿宋_GB2312"/>
                <w:i w:val="0"/>
                <w:iCs w:val="0"/>
                <w:color w:val="000000"/>
                <w:sz w:val="24"/>
                <w:szCs w:val="21"/>
                <w:u w:val="none"/>
              </w:rPr>
              <w:suppressLineNumbers w:val="0"/>
            </w:pPr>
            <w:r>
              <w:rPr>
                <w:rFonts w:hint="eastAsia" w:ascii="Times New Roman" w:hAnsi="Times New Roman" w:eastAsia="宋体" w:cs="仿宋_GB2312"/>
                <w:i w:val="0"/>
                <w:iCs w:val="0"/>
                <w:color w:val="000000"/>
                <w:sz w:val="24"/>
                <w:szCs w:val="21"/>
                <w:u w:val="none"/>
                <w:lang w:val="en-US" w:eastAsia="zh-CN"/>
              </w:rPr>
              <w:t xml:space="preserve">智能管控终端，能够实现等比例混合采样、同步备份采样（平行样）、远程即时采样等多种采样功能</w:t>
            </w:r>
            <w:r/>
          </w:p>
        </w:tc>
      </w:tr>
      <w:tr>
        <w:trPr>
          <w:trHeight w:val="280"/>
        </w:trPr>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lang w:val="en-US" w:eastAsia="zh-CN"/>
              </w:rPr>
              <w:suppressLineNumbers w:val="0"/>
            </w:pPr>
            <w:r>
              <w:rPr>
                <w:rFonts w:hint="eastAsia" w:ascii="Times New Roman" w:hAnsi="Times New Roman" w:eastAsia="宋体" w:cs="仿宋_GB2312"/>
                <w:i w:val="0"/>
                <w:iCs w:val="0"/>
                <w:color w:val="000000"/>
                <w:sz w:val="24"/>
                <w:szCs w:val="21"/>
                <w:u w:val="none"/>
                <w:lang w:val="en-US"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W w:w="7033" w:type="dxa"/>
            <w:vAlign w:val="center"/>
            <w:textDirection w:val="lrTb"/>
            <w:noWrap w:val="false"/>
          </w:tcPr>
          <w:p>
            <w:pPr>
              <w:jc w:val="center"/>
              <w:keepLines w:val="0"/>
              <w:keepNext w:val="0"/>
              <w:spacing w:after="0"/>
              <w:widowControl/>
              <w:rPr>
                <w:rFonts w:hint="default" w:ascii="Times New Roman" w:hAnsi="Times New Roman" w:eastAsia="宋体" w:cs="仿宋_GB2312"/>
                <w:i w:val="0"/>
                <w:iCs w:val="0"/>
                <w:color w:val="000000"/>
                <w:sz w:val="24"/>
                <w:szCs w:val="21"/>
                <w:u w:val="none"/>
                <w:lang w:val="en-US" w:eastAsia="zh-CN"/>
              </w:rPr>
              <w:suppressLineNumbers w:val="0"/>
            </w:pPr>
            <w:r>
              <w:rPr>
                <w:rFonts w:hint="eastAsia" w:ascii="Times New Roman" w:hAnsi="Times New Roman" w:eastAsia="宋体" w:cs="仿宋_GB2312"/>
                <w:i w:val="0"/>
                <w:iCs w:val="0"/>
                <w:color w:val="000000"/>
                <w:sz w:val="24"/>
                <w:szCs w:val="21"/>
                <w:highlight w:val="none"/>
                <w:u w:val="none"/>
                <w:lang w:val="en-US" w:eastAsia="zh-CN"/>
              </w:rPr>
              <w:t xml:space="preserve">运维服务2年</w:t>
            </w:r>
            <w:r>
              <w:rPr>
                <w:rFonts w:hint="eastAsia" w:cs="仿宋_GB2312"/>
                <w:i w:val="0"/>
                <w:iCs w:val="0"/>
                <w:color w:val="000000"/>
                <w:sz w:val="24"/>
                <w:szCs w:val="21"/>
                <w:highlight w:val="none"/>
                <w:u w:val="none"/>
                <w:lang w:val="en-US" w:eastAsia="zh-CN"/>
              </w:rPr>
              <w:t xml:space="preserve">（含一名驻站人员）</w:t>
            </w:r>
            <w:r/>
          </w:p>
        </w:tc>
      </w:tr>
    </w:tbl>
    <w:p>
      <w:pPr>
        <w:spacing w:line="560" w:lineRule="exact"/>
        <w:rPr>
          <w:rFonts w:hint="eastAsia" w:ascii="Times New Roman" w:hAnsi="Times New Roman" w:eastAsia="宋体" w:cs="宋体"/>
          <w:b/>
          <w:bCs/>
          <w:sz w:val="24"/>
          <w:szCs w:val="21"/>
        </w:rPr>
        <w:outlineLvl w:val="0"/>
      </w:pPr>
      <w:r>
        <w:rPr>
          <w:rFonts w:hint="eastAsia" w:ascii="Times New Roman" w:hAnsi="Times New Roman" w:eastAsia="宋体" w:cs="宋体"/>
          <w:b/>
          <w:bCs/>
          <w:sz w:val="24"/>
          <w:szCs w:val="21"/>
        </w:rPr>
        <w:t xml:space="preserve">四、建设依据</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（1）《地表水环境质量标准》（GB3838-2002）；</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（2）《集中式饮用水水源地规范化建设环境保护技术要求》（HJ773-2015）；</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（3）《饮用水水源保护区划分技术规范》（HJ338-2018）；</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（4）《地表水和污水监测技术规范》（HJ/T91-2002）；</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（5）《地表水自动监测技术规范（试行）（HJ915-2017）》；</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（6）《污染物在线监控（监测）系统数据传输标准》（HJ212-2017）；</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（7）《水质河流采样技术指导》（HJ/T52-1999）；</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（8）《pH水质自动分析仪技术要求》（HJ/T96-2003）；</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（9）《电导率水质自动分析仪技术要求》（HJ/T97-2003）；</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（10）《浊度水质自动分析仪技术要求》（HJ/T98-2003）；</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（11）《溶解氧（DO）水质自动分析仪技术要求》（HJ/T99-2003）；</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（12）《高锰酸盐指数水质自动分析仪技术要求》（HJ/T100-2003）；</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（13）《氨氮水质在线自动监测仪技术要求及检测方法》（HJ101-2019）；</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（14）《总氮自动分析仪技术要求》（HJ/T102-2003）；</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（15）《总磷自动分析仪技术要求》（HJ/T103-2003）；</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（16）《水质挥发性有机物的在线测定连续吹扫捕集/气相色谱法》（DB32/T3945-2020）；</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（17）《水质毒性鱼菌合一在线预警监测技术规范》（T/JSSES31-2023）；</w:t>
      </w:r>
      <w:r/>
    </w:p>
    <w:p>
      <w:pPr>
        <w:spacing w:line="560" w:lineRule="exact"/>
        <w:rPr>
          <w:rFonts w:hint="eastAsia" w:ascii="Times New Roman" w:hAnsi="Times New Roman" w:eastAsia="宋体" w:cs="宋体"/>
          <w:b/>
          <w:bCs/>
          <w:sz w:val="24"/>
          <w:szCs w:val="21"/>
        </w:rPr>
        <w:outlineLvl w:val="0"/>
      </w:pPr>
      <w:r>
        <w:rPr>
          <w:rFonts w:hint="eastAsia" w:ascii="Times New Roman" w:hAnsi="Times New Roman" w:eastAsia="宋体" w:cs="宋体"/>
          <w:b/>
          <w:bCs/>
          <w:sz w:val="24"/>
          <w:szCs w:val="21"/>
        </w:rPr>
        <w:t xml:space="preserve">五、技术要求</w:t>
      </w:r>
      <w:r/>
    </w:p>
    <w:p>
      <w:pPr>
        <w:ind w:firstLine="420"/>
        <w:jc w:val="both"/>
        <w:keepLines w:val="0"/>
        <w:keepNext w:val="0"/>
        <w:pageBreakBefore w:val="0"/>
        <w:spacing w:line="560" w:lineRule="exact"/>
        <w:widowControl w:val="off"/>
        <w:rPr>
          <w:rFonts w:hint="default" w:ascii="Times New Roman" w:hAnsi="Times New Roman" w:eastAsia="宋体" w:cs="宋体"/>
          <w:b/>
          <w:bCs w:val="0"/>
          <w:sz w:val="24"/>
          <w:szCs w:val="24"/>
          <w:highlight w:val="yellow"/>
          <w:lang w:val="en-US" w:eastAsia="zh-CN" w:bidi="ar-SA"/>
        </w:rPr>
        <w:outlineLvl w:val="1"/>
      </w:pPr>
      <w:r>
        <w:rPr>
          <w:rFonts w:hint="eastAsia" w:ascii="Times New Roman" w:hAnsi="Times New Roman" w:eastAsia="宋体" w:cs="宋体"/>
          <w:b/>
          <w:bCs w:val="0"/>
          <w:sz w:val="24"/>
          <w:szCs w:val="24"/>
          <w:lang w:val="en-US" w:eastAsia="zh-CN" w:bidi="ar-SA"/>
        </w:rPr>
        <w:t xml:space="preserve">（一）水质监测指标增补仪器技术要求</w:t>
      </w:r>
      <w:r/>
    </w:p>
    <w:p>
      <w:pPr>
        <w:ind w:firstLine="480"/>
        <w:spacing w:line="560" w:lineRule="exact"/>
        <w:rPr>
          <w:rFonts w:hint="default" w:ascii="Times New Roman" w:hAnsi="Times New Roman" w:eastAsia="宋体" w:cs="宋体"/>
          <w:b w:val="0"/>
          <w:bCs w:val="0"/>
          <w:sz w:val="24"/>
          <w:szCs w:val="21"/>
          <w:lang w:val="en-US"/>
        </w:rPr>
        <w:outlineLvl w:val="2"/>
      </w:pPr>
      <w:r>
        <w:rPr>
          <w:rFonts w:hint="eastAsia" w:ascii="Times New Roman" w:hAnsi="Times New Roman" w:eastAsia="宋体" w:cs="宋体"/>
          <w:b w:val="0"/>
          <w:bCs w:val="0"/>
          <w:sz w:val="24"/>
          <w:szCs w:val="21"/>
          <w:lang w:val="en-US" w:eastAsia="zh-CN"/>
        </w:rPr>
        <w:t xml:space="preserve">1</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通用技术指标</w:t>
      </w:r>
      <w:r>
        <w:rPr>
          <w:rFonts w:hint="eastAsia" w:ascii="Times New Roman" w:hAnsi="Times New Roman" w:eastAsia="宋体" w:cs="宋体"/>
          <w:b w:val="0"/>
          <w:bCs w:val="0"/>
          <w:sz w:val="24"/>
          <w:szCs w:val="24"/>
          <w:highlight w:val="none"/>
          <w:lang w:val="en-US" w:eastAsia="zh-CN"/>
        </w:rPr>
        <w:t xml:space="preserve">（</w:t>
      </w:r>
      <w:r>
        <w:rPr>
          <w:rFonts w:hint="eastAsia" w:ascii="Times New Roman" w:hAnsi="Times New Roman" w:eastAsia="宋体" w:cs="宋体"/>
          <w:b w:val="0"/>
          <w:bCs w:val="0"/>
          <w:sz w:val="24"/>
          <w:szCs w:val="24"/>
          <w:highlight w:val="none"/>
          <w:lang w:val="en-US" w:eastAsia="zh-CN" w:bidi="ar-SA"/>
        </w:rPr>
        <w:t xml:space="preserve">VOC</w:t>
      </w:r>
      <w:r>
        <w:rPr>
          <w:rFonts w:hint="eastAsia" w:ascii="Times New Roman" w:hAnsi="Times New Roman" w:eastAsia="宋体" w:cs="宋体"/>
          <w:b w:val="0"/>
          <w:bCs w:val="0"/>
          <w:sz w:val="24"/>
          <w:szCs w:val="21"/>
          <w:highlight w:val="none"/>
          <w:lang w:val="en-US" w:eastAsia="zh-CN"/>
        </w:rPr>
        <w:t xml:space="preserve">水质分析仪</w:t>
      </w:r>
      <w:r>
        <w:rPr>
          <w:rFonts w:hint="eastAsia" w:ascii="Times New Roman" w:hAnsi="Times New Roman" w:eastAsia="宋体" w:cs="宋体"/>
          <w:b w:val="0"/>
          <w:bCs w:val="0"/>
          <w:sz w:val="24"/>
          <w:szCs w:val="24"/>
          <w:highlight w:val="none"/>
          <w:lang w:val="en-US" w:eastAsia="zh-CN"/>
        </w:rPr>
        <w:t xml:space="preserve">、藻密度除外）</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1.操作语言</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水质自动分析仪器和控制单元所有显示须为中文，符合《信息交换用汉字编</w:t>
      </w:r>
      <w:r/>
    </w:p>
    <w:p>
      <w:pPr>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码字符集》（GB2312－1980）的要求。</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2.供电要求</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仪器设备的运行电压为（220±22）V，交流频率为（50±0.5）Hz。所有设备的电源插头为中国制式A9120-9085-1。</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3.使用环境要求</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所有设备在温度5～45℃,相对湿度小于90%环境下能够正常运行。</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4.试剂供应</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需提供仪器试剂配制方法，并提供试剂品牌、成分及纯度。</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5.通讯协议要求</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投标人中标后须按照《地表水自动监测系统通讯协议技术要求》（HJ1404-2024）要求，将所有监测数据及相关信息传输至指定的平台，包括但不限于仪器的实时状态、关键参数和监测数据等，并向采购人提供所有仪器的底层通讯协议。</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6.方法原理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投标人提供的自动监测仪器的测量原理必须符合中国国家标准分析方法，在国内有成熟应用，并提供证明文件。投标人必须说明所提供分析仪器的方法原理。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7.基本功能要求</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投标人提供的自动监测仪器必须为适合于长期运行的在线式仪器，仪器必须具有密封的箱体，具有防潮和防尘功能。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（1）具有分析仪器过程日志记录功能；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（2）存储不少于3年的原始数据和运行日志；</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（3）必须支持《地表水自动监测系统通讯协议技术要求》（HJ1404-2024）；</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（4）具备自动清洗功能；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（5）具有试剂余量监控及报警功能；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（6）能接受远程控制指令功能；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（7）具备关键参数变更的自动记录和查询功能；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（8）具备多管路进样设计，通过切换进样阀可实现标样/水样的进样；</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（9）具备自动/手动（标样核查、零点核查、跨度核查、24h零点漂移、24h跨度漂移）、零点校准、标样校准、工作曲线自动标定、加标回收率测试功能；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（10）具有仪器故障自动报警功能，如零部件故障、超量程报警、异常数据报警、缺试剂（水样、蒸馏水、试剂）报警等信息，并能够记录、上传；</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（11）具有界面状态显示功能，界面实时显示状态参数，如测量、标定、报警状态、运行进程等状态参数；</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outlineLvl w:val="9"/>
      </w:pPr>
      <w:r>
        <w:rPr>
          <w:rFonts w:hint="eastAsia" w:ascii="Times New Roman" w:hAnsi="Times New Roman" w:eastAsia="宋体" w:cs="宋体"/>
          <w:b w:val="0"/>
          <w:bCs w:val="0"/>
          <w:sz w:val="24"/>
          <w:szCs w:val="21"/>
        </w:rPr>
        <w:t xml:space="preserve">（1</w:t>
      </w:r>
      <w:r>
        <w:rPr>
          <w:rFonts w:hint="eastAsia" w:ascii="Times New Roman" w:hAnsi="Times New Roman" w:eastAsia="宋体" w:cs="宋体"/>
          <w:b w:val="0"/>
          <w:bCs w:val="0"/>
          <w:sz w:val="24"/>
          <w:szCs w:val="21"/>
          <w:lang w:val="en-US" w:eastAsia="zh-CN"/>
        </w:rPr>
        <w:t xml:space="preserve">2</w:t>
      </w:r>
      <w:r>
        <w:rPr>
          <w:rFonts w:hint="eastAsia" w:ascii="Times New Roman" w:hAnsi="Times New Roman" w:eastAsia="宋体" w:cs="宋体"/>
          <w:b w:val="0"/>
          <w:bCs w:val="0"/>
          <w:sz w:val="24"/>
          <w:szCs w:val="21"/>
        </w:rPr>
        <w:t xml:space="preserve">）仪器可扩展性好，无需更新软件即可完成不同监测参数之间的切换。具有漏液自动检测及液位保护功能，防止漏液腐蚀仪表，并具有报警功能。具有仪器电路、气路、液路及关键部件健康状态自诊断和查询的功能</w:t>
      </w:r>
      <w:r>
        <w:rPr>
          <w:rFonts w:hint="eastAsia" w:ascii="Times New Roman" w:hAnsi="Times New Roman" w:eastAsia="宋体" w:cs="宋体"/>
          <w:b w:val="0"/>
          <w:bCs w:val="0"/>
          <w:sz w:val="24"/>
          <w:szCs w:val="21"/>
          <w:lang w:eastAsia="zh-CN"/>
        </w:rPr>
        <w:t xml:space="preserve">；</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w:t>
      </w:r>
      <w:r>
        <w:rPr>
          <w:rFonts w:hint="eastAsia" w:ascii="Times New Roman" w:hAnsi="Times New Roman" w:eastAsia="宋体" w:cs="宋体"/>
          <w:b w:val="0"/>
          <w:bCs w:val="0"/>
          <w:sz w:val="24"/>
          <w:szCs w:val="21"/>
          <w:lang w:val="en-US" w:eastAsia="zh-CN"/>
        </w:rPr>
        <w:t xml:space="preserve">3</w:t>
      </w:r>
      <w:r>
        <w:rPr>
          <w:rFonts w:hint="eastAsia" w:ascii="Times New Roman" w:hAnsi="Times New Roman" w:eastAsia="宋体" w:cs="宋体"/>
          <w:b w:val="0"/>
          <w:bCs w:val="0"/>
          <w:sz w:val="24"/>
          <w:szCs w:val="21"/>
        </w:rPr>
        <w:t xml:space="preserve">）根据具体水样浓度，自动选用合适的测试量程。具备高低量程自动切换的功能，量程切换时不影响监测数据的正常显示和信号的正常输出；</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w:t>
      </w:r>
      <w:r>
        <w:rPr>
          <w:rFonts w:hint="eastAsia" w:ascii="Times New Roman" w:hAnsi="Times New Roman" w:eastAsia="宋体" w:cs="宋体"/>
          <w:b w:val="0"/>
          <w:bCs w:val="0"/>
          <w:sz w:val="24"/>
          <w:szCs w:val="21"/>
          <w:lang w:val="en-US" w:eastAsia="zh-CN"/>
        </w:rPr>
        <w:t xml:space="preserve">4</w:t>
      </w:r>
      <w:r>
        <w:rPr>
          <w:rFonts w:hint="eastAsia" w:ascii="Times New Roman" w:hAnsi="Times New Roman" w:eastAsia="宋体" w:cs="宋体"/>
          <w:b w:val="0"/>
          <w:bCs w:val="0"/>
          <w:sz w:val="24"/>
          <w:szCs w:val="21"/>
        </w:rPr>
        <w:t xml:space="preserve">）仪器数据单位为mg/L或</w:t>
      </w:r>
      <w:r>
        <w:rPr>
          <w:rFonts w:hint="default" w:ascii="Times New Roman" w:hAnsi="Times New Roman" w:eastAsia="宋体" w:cs="Times New Roman"/>
          <w:b w:val="0"/>
          <w:bCs w:val="0"/>
          <w:sz w:val="24"/>
          <w:szCs w:val="21"/>
        </w:rPr>
        <w:t xml:space="preserve">μ</w:t>
      </w:r>
      <w:r>
        <w:rPr>
          <w:rFonts w:hint="eastAsia" w:ascii="Times New Roman" w:hAnsi="Times New Roman" w:eastAsia="宋体" w:cs="宋体"/>
          <w:b w:val="0"/>
          <w:bCs w:val="0"/>
          <w:sz w:val="24"/>
          <w:szCs w:val="21"/>
        </w:rPr>
        <w:t xml:space="preserve">g/L并具有mg/L和</w:t>
      </w:r>
      <w:r>
        <w:rPr>
          <w:rFonts w:hint="default" w:ascii="Times New Roman" w:hAnsi="Times New Roman" w:eastAsia="宋体" w:cs="Times New Roman"/>
          <w:b w:val="0"/>
          <w:bCs w:val="0"/>
          <w:sz w:val="24"/>
          <w:szCs w:val="21"/>
        </w:rPr>
        <w:t xml:space="preserve">μ</w:t>
      </w:r>
      <w:r>
        <w:rPr>
          <w:rFonts w:hint="eastAsia" w:ascii="Times New Roman" w:hAnsi="Times New Roman" w:eastAsia="宋体" w:cs="宋体"/>
          <w:b w:val="0"/>
          <w:bCs w:val="0"/>
          <w:sz w:val="24"/>
          <w:szCs w:val="21"/>
        </w:rPr>
        <w:t xml:space="preserve">g/L单位相互转换功能；具有对不同类型数据添加标识功能。具有历史工作曲线存储与查询功能</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具有监测数据的关联信息记录与查询功能；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4"/>
        </w:rPr>
        <w:t xml:space="preserve">▲</w:t>
      </w:r>
      <w:r>
        <w:rPr>
          <w:rFonts w:hint="eastAsia" w:ascii="Times New Roman" w:hAnsi="Times New Roman" w:eastAsia="宋体" w:cs="宋体"/>
          <w:b w:val="0"/>
          <w:bCs w:val="0"/>
          <w:sz w:val="24"/>
          <w:szCs w:val="21"/>
        </w:rPr>
        <w:t xml:space="preserve">（15）具备动态扣除浊度、色度的影响，具有抗浊度、抗色度干扰功能。可根据样品实际情况（如浊度、色度），自动调整计量进样单元的样品终点信号；</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outlineLvl w:val="9"/>
      </w:pPr>
      <w:r>
        <w:rPr>
          <w:rFonts w:hint="eastAsia" w:ascii="Times New Roman" w:hAnsi="Times New Roman" w:eastAsia="宋体" w:cs="宋体"/>
          <w:b w:val="0"/>
          <w:bCs w:val="0"/>
          <w:sz w:val="24"/>
          <w:szCs w:val="24"/>
        </w:rPr>
        <w:t xml:space="preserve">▲</w:t>
      </w:r>
      <w:r>
        <w:rPr>
          <w:rFonts w:hint="eastAsia" w:ascii="Times New Roman" w:hAnsi="Times New Roman" w:eastAsia="宋体" w:cs="宋体"/>
          <w:b w:val="0"/>
          <w:bCs w:val="0"/>
          <w:sz w:val="24"/>
          <w:szCs w:val="21"/>
        </w:rPr>
        <w:t xml:space="preserve">（16）具备一键性能检验功能，包括零点漂移、量程漂移、示值误差、重复性、检出限测试，并自动计算测试结果；仪器具有多种曲线标定方式，多量程共用一条工作曲线，也可多量程采用多条工作曲线</w:t>
      </w:r>
      <w:r>
        <w:rPr>
          <w:rFonts w:hint="eastAsia" w:ascii="Times New Roman" w:hAnsi="Times New Roman" w:eastAsia="宋体" w:cs="宋体"/>
          <w:b w:val="0"/>
          <w:bCs w:val="0"/>
          <w:sz w:val="24"/>
          <w:szCs w:val="21"/>
          <w:lang w:eastAsia="zh-CN"/>
        </w:rPr>
        <w:t xml:space="preserve">；</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（17）具有仪器运行周期（连续或间歇）设置功能，至少具备常规、应急、质控等多种运行模式；</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（18）具备双管路进样，避免试剂干扰；</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（19）具有仪器耗材寿命管理、报警、提示更换功能；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（20）具备双向数据传输和工作状态输出功能；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（21）具有RS-232、RS-485或RJ45标准通讯接口；</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（22）水质自动分析仪器（常规五参数外）及控制单元须具有三级管理权限；</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（23）具备1小时1次的监测能力；</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val="0"/>
          <w:bCs w:val="0"/>
          <w:sz w:val="24"/>
          <w:szCs w:val="21"/>
        </w:rPr>
        <w:t xml:space="preserve">（24）具有时间设置功能，可根据需要任意设定监测频次。</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outlineLvl w:val="2"/>
      </w:pPr>
      <w:r>
        <w:rPr>
          <w:rFonts w:hint="eastAsia" w:ascii="Times New Roman" w:hAnsi="Times New Roman" w:eastAsia="宋体" w:cs="宋体"/>
          <w:b w:val="0"/>
          <w:bCs w:val="0"/>
          <w:sz w:val="24"/>
          <w:szCs w:val="21"/>
          <w:lang w:val="en-US" w:eastAsia="zh-CN"/>
        </w:rPr>
        <w:t xml:space="preserve">2、水质自动分析仪仪器技术要求</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outlineLvl w:val="9"/>
      </w:pPr>
      <w:r>
        <w:rPr>
          <w:rFonts w:hint="eastAsia" w:ascii="Times New Roman" w:hAnsi="Times New Roman" w:eastAsia="宋体" w:cs="宋体"/>
          <w:b w:val="0"/>
          <w:bCs w:val="0"/>
          <w:sz w:val="24"/>
          <w:szCs w:val="21"/>
          <w:lang w:val="en-US" w:eastAsia="zh-CN"/>
        </w:rPr>
        <w:t xml:space="preserve">（1）重金属水质分析仪（铅、铜、镉、锌、砷）</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outlineLvl w:val="9"/>
      </w:pPr>
      <w:r>
        <w:rPr>
          <w:rFonts w:hint="eastAsia" w:ascii="Times New Roman" w:hAnsi="Times New Roman" w:eastAsia="宋体" w:cs="宋体"/>
          <w:b w:val="0"/>
          <w:bCs w:val="0"/>
          <w:sz w:val="24"/>
          <w:szCs w:val="21"/>
          <w:lang w:val="en-US" w:eastAsia="zh-CN"/>
        </w:rPr>
        <w:t xml:space="preserve">1）重金属铅水质分析仪</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2"/>
        <w:gridCol w:w="4274"/>
      </w:tblGrid>
      <w:tr>
        <w:trPr>
          <w:trHeight w:val="48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w:t>
            </w:r>
            <w:r>
              <w:rPr>
                <w:rFonts w:hint="default" w:ascii="Times New Roman" w:hAnsi="Times New Roman" w:eastAsia="宋体" w:cs="Times New Roman"/>
                <w:color w:val="000000"/>
                <w:sz w:val="24"/>
                <w:szCs w:val="20"/>
                <w:lang w:val="en-US" w:eastAsia="zh-CN"/>
              </w:rPr>
              <w:t xml:space="preserve">   </w:t>
            </w:r>
            <w:r>
              <w:rPr>
                <w:rFonts w:hint="eastAsia" w:ascii="Times New Roman" w:hAnsi="Times New Roman" w:eastAsia="宋体" w:cs="宋体"/>
                <w:color w:val="000000"/>
                <w:sz w:val="24"/>
                <w:szCs w:val="20"/>
                <w:lang w:val="en-US" w:eastAsia="zh-CN"/>
              </w:rPr>
              <w:t xml:space="preserve">目</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技术指标</w:t>
            </w:r>
            <w:r/>
          </w:p>
        </w:tc>
      </w:tr>
      <w:tr>
        <w:trPr>
          <w:trHeight w:val="416"/>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阳极溶出伏安法</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精密度</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≤5</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定量下限</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≤0.005</w:t>
            </w:r>
            <w:r>
              <w:rPr>
                <w:rFonts w:hint="default" w:ascii="Times New Roman" w:hAnsi="Times New Roman" w:eastAsia="宋体" w:cs="Times New Roman"/>
                <w:color w:val="000000"/>
                <w:sz w:val="24"/>
                <w:szCs w:val="20"/>
                <w:lang w:val="en-US" w:eastAsia="zh-CN"/>
              </w:rPr>
              <w:t xml:space="preserve">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一致性</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5</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零点漂移</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1</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量程漂移</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5</w:t>
            </w:r>
            <w:r>
              <w:rPr>
                <w:rFonts w:hint="default" w:ascii="Times New Roman" w:hAnsi="Times New Roman" w:eastAsia="宋体" w:cs="Times New Roman"/>
                <w:color w:val="000000"/>
                <w:sz w:val="24"/>
                <w:szCs w:val="20"/>
                <w:lang w:val="en-US" w:eastAsia="zh-CN"/>
              </w:rPr>
              <w:t xml:space="preserve">%</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离子干扰</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±10</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实际水样比对试验</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10%</w:t>
            </w:r>
            <w:r/>
          </w:p>
        </w:tc>
      </w:tr>
      <w:tr>
        <w:trPr>
          <w:trHeight w:val="330"/>
        </w:trPr>
        <w:tc>
          <w:tcPr>
            <w:tcBorders>
              <w:top w:val="single" w:color="auto" w:sz="4" w:space="0"/>
              <w:left w:val="single" w:color="auto" w:sz="4" w:space="0"/>
              <w:right w:val="single" w:color="auto" w:sz="4" w:space="0"/>
            </w:tcBorders>
            <w:tcW w:w="4245" w:type="dxa"/>
            <w:vAlign w:val="center"/>
            <w:vMerge w:val="restart"/>
            <w:textDirection w:val="lrTb"/>
            <w:noWrap w:val="false"/>
          </w:tcPr>
          <w:p>
            <w:pPr>
              <w:ind w:left="0" w:right="0"/>
              <w:jc w:val="center"/>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pacing w:val="-1"/>
                <w:sz w:val="24"/>
                <w:szCs w:val="24"/>
              </w:rPr>
              <w:t xml:space="preserve">仪器功能</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7"/>
                <w:sz w:val="24"/>
                <w:szCs w:val="24"/>
              </w:rPr>
              <w:t xml:space="preserve">▲</w:t>
            </w:r>
            <w:r>
              <w:rPr>
                <w:rFonts w:hint="eastAsia" w:ascii="宋体" w:hAnsi="宋体" w:eastAsia="宋体" w:cs="宋体"/>
                <w:spacing w:val="-1"/>
                <w:sz w:val="24"/>
                <w:szCs w:val="24"/>
              </w:rPr>
              <w:t xml:space="preserve">每个测试数据具有独立关键指标记录功能，如当前</w:t>
            </w:r>
            <w:r>
              <w:rPr>
                <w:rFonts w:hint="eastAsia" w:ascii="宋体" w:hAnsi="宋体" w:eastAsia="宋体" w:cs="宋体"/>
                <w:sz w:val="24"/>
                <w:szCs w:val="24"/>
              </w:rPr>
              <w:t xml:space="preserve">测试数据对应的消解温度、消解时间等参数。</w:t>
            </w:r>
            <w:r/>
          </w:p>
        </w:tc>
      </w:tr>
      <w:tr>
        <w:trPr>
          <w:trHeight w:val="330"/>
        </w:trPr>
        <w:tc>
          <w:tcPr>
            <w:tcBorders>
              <w:left w:val="single" w:color="auto" w:sz="4" w:space="0"/>
              <w:right w:val="single" w:color="auto" w:sz="4" w:space="0"/>
            </w:tcBorders>
            <w:tcW w:w="4245" w:type="dxa"/>
            <w:vAlign w:val="center"/>
            <w:vMerge w:val="continue"/>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spacing w:val="-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pacing w:val="-1"/>
                <w:sz w:val="24"/>
                <w:szCs w:val="24"/>
              </w:rPr>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7"/>
                <w:sz w:val="24"/>
                <w:szCs w:val="24"/>
              </w:rPr>
              <w:t xml:space="preserve">▲</w:t>
            </w:r>
            <w:r>
              <w:rPr>
                <w:rFonts w:hint="eastAsia" w:ascii="宋体" w:hAnsi="宋体" w:eastAsia="宋体" w:cs="宋体"/>
                <w:sz w:val="24"/>
                <w:szCs w:val="24"/>
              </w:rPr>
              <w:t xml:space="preserve">电路板PCB表面刷有保护漆。防止线路板在恶劣环境可能因产生腐蚀，变形，霉变等现象而导致出现故障。</w:t>
            </w:r>
            <w:r/>
          </w:p>
        </w:tc>
      </w:tr>
      <w:tr>
        <w:trPr>
          <w:trHeight w:val="330"/>
        </w:trPr>
        <w:tc>
          <w:tcPr>
            <w:tcBorders>
              <w:left w:val="single" w:color="auto" w:sz="4" w:space="0"/>
              <w:bottom w:val="single" w:color="auto" w:sz="4" w:space="0"/>
              <w:right w:val="single" w:color="auto" w:sz="4" w:space="0"/>
            </w:tcBorders>
            <w:tcW w:w="4245" w:type="dxa"/>
            <w:vAlign w:val="center"/>
            <w:vMerge w:val="continue"/>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spacing w:val="-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pacing w:val="-1"/>
                <w:sz w:val="24"/>
                <w:szCs w:val="24"/>
              </w:rPr>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7"/>
                <w:sz w:val="24"/>
                <w:szCs w:val="24"/>
              </w:rPr>
              <w:t xml:space="preserve">▲</w:t>
            </w:r>
            <w:r>
              <w:rPr>
                <w:rFonts w:hint="eastAsia" w:ascii="宋体" w:hAnsi="宋体" w:eastAsia="宋体" w:cs="宋体"/>
                <w:sz w:val="24"/>
                <w:szCs w:val="24"/>
              </w:rPr>
              <w:t xml:space="preserve">能够清晰的显示出仪器软件版本号和流程文件版本号，</w:t>
            </w:r>
            <w:r>
              <w:rPr>
                <w:rFonts w:hint="eastAsia" w:ascii="宋体" w:hAnsi="宋体" w:eastAsia="宋体" w:cs="宋体"/>
                <w:spacing w:val="-1"/>
                <w:sz w:val="24"/>
                <w:szCs w:val="24"/>
              </w:rPr>
              <w:t xml:space="preserve">流程文件版本号可显示编译时间及作者、审核人、版本</w:t>
            </w:r>
            <w:r>
              <w:rPr>
                <w:rFonts w:hint="eastAsia" w:ascii="宋体" w:hAnsi="宋体" w:eastAsia="宋体" w:cs="宋体"/>
                <w:sz w:val="24"/>
                <w:szCs w:val="24"/>
              </w:rPr>
              <w:t xml:space="preserve">号等版本控制信息。</w:t>
            </w:r>
            <w:r/>
          </w:p>
        </w:tc>
      </w:tr>
    </w:tbl>
    <w:p>
      <w:pPr>
        <w:numPr>
          <w:ilvl w:val="0"/>
          <w:numId w:val="0"/>
        </w:num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outlineLvl w:val="9"/>
      </w:pPr>
      <w:r>
        <w:rPr>
          <w:rFonts w:hint="eastAsia" w:ascii="Times New Roman" w:hAnsi="Times New Roman" w:eastAsia="宋体" w:cs="宋体"/>
          <w:b w:val="0"/>
          <w:bCs w:val="0"/>
          <w:sz w:val="24"/>
          <w:szCs w:val="24"/>
          <w:lang w:val="en-US" w:eastAsia="zh-CN" w:bidi="ar-SA"/>
        </w:rPr>
        <w:t xml:space="preserve">2）</w:t>
      </w:r>
      <w:r>
        <w:rPr>
          <w:rFonts w:hint="eastAsia" w:ascii="Times New Roman" w:hAnsi="Times New Roman" w:eastAsia="宋体" w:cs="宋体"/>
          <w:b w:val="0"/>
          <w:bCs w:val="0"/>
          <w:sz w:val="24"/>
          <w:szCs w:val="21"/>
          <w:lang w:val="en-US" w:eastAsia="zh-CN"/>
        </w:rPr>
        <w:t xml:space="preserve">重金属铜水质分析仪</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2"/>
        <w:gridCol w:w="4274"/>
      </w:tblGrid>
      <w:tr>
        <w:trPr>
          <w:trHeight w:val="48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技术指标</w:t>
            </w:r>
            <w:r/>
          </w:p>
        </w:tc>
      </w:tr>
      <w:tr>
        <w:trPr>
          <w:trHeight w:val="416"/>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阳极溶出伏安法</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测定范围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0~</w:t>
            </w:r>
            <w:r>
              <w:rPr>
                <w:rFonts w:hint="eastAsia" w:ascii="Times New Roman" w:hAnsi="Times New Roman" w:eastAsia="宋体" w:cs="Times New Roman"/>
                <w:color w:val="000000"/>
                <w:sz w:val="24"/>
                <w:szCs w:val="20"/>
                <w:lang w:val="en-US" w:eastAsia="zh-CN"/>
              </w:rPr>
              <w:t xml:space="preserve">2</w:t>
            </w:r>
            <w:r>
              <w:rPr>
                <w:rFonts w:hint="default" w:ascii="Times New Roman" w:hAnsi="Times New Roman" w:eastAsia="宋体" w:cs="Times New Roman"/>
                <w:color w:val="000000"/>
                <w:sz w:val="24"/>
                <w:szCs w:val="20"/>
                <w:lang w:val="en-US" w:eastAsia="zh-CN"/>
              </w:rPr>
              <w:t xml:space="preserve">mg/L</w:t>
            </w:r>
            <w:r>
              <w:rPr>
                <w:rFonts w:hint="eastAsia" w:ascii="Times New Roman" w:hAnsi="Times New Roman" w:eastAsia="宋体" w:cs="宋体"/>
                <w:color w:val="000000"/>
                <w:sz w:val="24"/>
                <w:szCs w:val="20"/>
                <w:lang w:val="en-US" w:eastAsia="zh-CN"/>
              </w:rPr>
              <w:t xml:space="preserve">（可扩展）</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准确度</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1</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定量下限</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≤0.005</w:t>
            </w:r>
            <w:r>
              <w:rPr>
                <w:rFonts w:hint="default" w:ascii="Times New Roman" w:hAnsi="Times New Roman" w:eastAsia="宋体" w:cs="Times New Roman"/>
                <w:color w:val="000000"/>
                <w:sz w:val="24"/>
                <w:szCs w:val="20"/>
                <w:lang w:val="en-US" w:eastAsia="zh-CN"/>
              </w:rPr>
              <w:t xml:space="preserve">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重复性</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3</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零点漂移</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3</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量程漂移</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3</w:t>
            </w:r>
            <w:r>
              <w:rPr>
                <w:rFonts w:hint="default" w:ascii="Times New Roman" w:hAnsi="Times New Roman" w:eastAsia="宋体" w:cs="Times New Roman"/>
                <w:color w:val="000000"/>
                <w:sz w:val="24"/>
                <w:szCs w:val="20"/>
                <w:lang w:val="en-US" w:eastAsia="zh-CN"/>
              </w:rPr>
              <w:t xml:space="preserve">%</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离子干扰</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±20</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实际水样比对试验</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10%</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分辨率</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0.00</w:t>
            </w:r>
            <w:r>
              <w:rPr>
                <w:rFonts w:hint="eastAsia" w:ascii="Times New Roman" w:hAnsi="Times New Roman" w:eastAsia="宋体" w:cs="Times New Roman"/>
                <w:color w:val="000000"/>
                <w:sz w:val="24"/>
                <w:szCs w:val="20"/>
                <w:lang w:val="en-US" w:eastAsia="zh-CN"/>
              </w:rPr>
              <w:t xml:space="preserve">0</w:t>
            </w:r>
            <w:r>
              <w:rPr>
                <w:rFonts w:hint="default" w:ascii="Times New Roman" w:hAnsi="Times New Roman" w:eastAsia="宋体" w:cs="Times New Roman"/>
                <w:color w:val="000000"/>
                <w:sz w:val="24"/>
                <w:szCs w:val="20"/>
                <w:lang w:val="en-US" w:eastAsia="zh-CN"/>
              </w:rPr>
              <w:t xml:space="preserve">1mg/L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测量时间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30</w:t>
            </w:r>
            <w:r>
              <w:rPr>
                <w:rFonts w:hint="default" w:ascii="Times New Roman" w:hAnsi="Times New Roman" w:eastAsia="宋体" w:cs="Times New Roman"/>
                <w:color w:val="000000"/>
                <w:sz w:val="24"/>
                <w:szCs w:val="20"/>
                <w:lang w:val="en-US" w:eastAsia="zh-CN"/>
              </w:rPr>
              <w:t xml:space="preserve">min</w:t>
            </w:r>
            <w:r/>
          </w:p>
        </w:tc>
      </w:tr>
      <w:tr>
        <w:trPr>
          <w:trHeight w:val="330"/>
        </w:trPr>
        <w:tc>
          <w:tcPr>
            <w:tcBorders>
              <w:top w:val="single" w:color="auto" w:sz="4" w:space="0"/>
              <w:left w:val="single" w:color="auto" w:sz="4" w:space="0"/>
              <w:right w:val="single" w:color="auto" w:sz="4" w:space="0"/>
            </w:tcBorders>
            <w:tcW w:w="4245" w:type="dxa"/>
            <w:vAlign w:val="center"/>
            <w:vMerge w:val="restart"/>
            <w:textDirection w:val="lrTb"/>
            <w:noWrap w:val="false"/>
          </w:tcPr>
          <w:p>
            <w:pPr>
              <w:ind w:left="0" w:right="0"/>
              <w:jc w:val="center"/>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pacing w:val="-1"/>
                <w:sz w:val="24"/>
                <w:szCs w:val="24"/>
              </w:rPr>
              <w:t xml:space="preserve">仪器功能</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7"/>
                <w:sz w:val="24"/>
                <w:szCs w:val="24"/>
              </w:rPr>
              <w:t xml:space="preserve">▲</w:t>
            </w:r>
            <w:r>
              <w:rPr>
                <w:rFonts w:hint="eastAsia" w:ascii="宋体" w:hAnsi="宋体" w:eastAsia="宋体" w:cs="宋体"/>
                <w:sz w:val="24"/>
                <w:szCs w:val="24"/>
              </w:rPr>
              <w:t xml:space="preserve">具有测试流程倒计时显示功能，并具有中间状态实时显示功能。</w:t>
            </w:r>
            <w:r/>
          </w:p>
        </w:tc>
      </w:tr>
      <w:tr>
        <w:trPr>
          <w:trHeight w:val="330"/>
        </w:trPr>
        <w:tc>
          <w:tcPr>
            <w:tcBorders>
              <w:left w:val="single" w:color="auto" w:sz="4" w:space="0"/>
              <w:bottom w:val="single" w:color="auto" w:sz="4" w:space="0"/>
              <w:right w:val="single" w:color="auto" w:sz="4" w:space="0"/>
            </w:tcBorders>
            <w:tcW w:w="4245" w:type="dxa"/>
            <w:vAlign w:val="center"/>
            <w:vMerge w:val="continue"/>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7"/>
                <w:sz w:val="24"/>
                <w:szCs w:val="24"/>
              </w:rPr>
              <w:t xml:space="preserve">▲</w:t>
            </w:r>
            <w:r>
              <w:rPr>
                <w:rFonts w:hint="eastAsia" w:ascii="宋体" w:hAnsi="宋体" w:eastAsia="宋体" w:cs="宋体"/>
                <w:spacing w:val="-8"/>
                <w:sz w:val="24"/>
                <w:szCs w:val="24"/>
              </w:rPr>
              <w:t xml:space="preserve">计量管可视化，能够清楚展示液位管当前状态及洁净程</w:t>
            </w:r>
            <w:r>
              <w:rPr>
                <w:rFonts w:hint="eastAsia" w:ascii="宋体" w:hAnsi="宋体" w:eastAsia="宋体" w:cs="宋体"/>
                <w:spacing w:val="-9"/>
                <w:sz w:val="24"/>
                <w:szCs w:val="24"/>
              </w:rPr>
              <w:t xml:space="preserve">度。</w:t>
            </w:r>
            <w:r/>
          </w:p>
        </w:tc>
      </w:tr>
    </w:tbl>
    <w:p>
      <w:pPr>
        <w:numPr>
          <w:ilvl w:val="0"/>
          <w:numId w:val="0"/>
        </w:num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outlineLvl w:val="9"/>
      </w:pPr>
      <w:r>
        <w:rPr>
          <w:rFonts w:hint="eastAsia" w:ascii="Times New Roman" w:hAnsi="Times New Roman" w:eastAsia="宋体" w:cs="宋体"/>
          <w:b w:val="0"/>
          <w:bCs w:val="0"/>
          <w:sz w:val="24"/>
          <w:szCs w:val="24"/>
          <w:lang w:val="en-US" w:eastAsia="zh-CN" w:bidi="ar-SA"/>
        </w:rPr>
        <w:t xml:space="preserve">3）</w:t>
      </w:r>
      <w:r>
        <w:rPr>
          <w:rFonts w:hint="eastAsia" w:ascii="Times New Roman" w:hAnsi="Times New Roman" w:eastAsia="宋体" w:cs="宋体"/>
          <w:b w:val="0"/>
          <w:bCs w:val="0"/>
          <w:sz w:val="24"/>
          <w:szCs w:val="21"/>
          <w:lang w:val="en-US" w:eastAsia="zh-CN"/>
        </w:rPr>
        <w:t xml:space="preserve">重金属镉水质分析仪</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2"/>
        <w:gridCol w:w="4274"/>
      </w:tblGrid>
      <w:tr>
        <w:trPr>
          <w:trHeight w:val="48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技术指标</w:t>
            </w:r>
            <w:r/>
          </w:p>
        </w:tc>
      </w:tr>
      <w:tr>
        <w:trPr>
          <w:trHeight w:val="416"/>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阳极溶出伏安法</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测定范围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0~</w:t>
            </w:r>
            <w:r>
              <w:rPr>
                <w:rFonts w:hint="eastAsia" w:ascii="Times New Roman" w:hAnsi="Times New Roman" w:eastAsia="宋体" w:cs="Times New Roman"/>
                <w:color w:val="000000"/>
                <w:sz w:val="24"/>
                <w:szCs w:val="20"/>
                <w:lang w:val="en-US" w:eastAsia="zh-CN"/>
              </w:rPr>
              <w:t xml:space="preserve">1</w:t>
            </w:r>
            <w:r>
              <w:rPr>
                <w:rFonts w:hint="default" w:ascii="Times New Roman" w:hAnsi="Times New Roman" w:eastAsia="宋体" w:cs="Times New Roman"/>
                <w:color w:val="000000"/>
                <w:sz w:val="24"/>
                <w:szCs w:val="20"/>
                <w:lang w:val="en-US" w:eastAsia="zh-CN"/>
              </w:rPr>
              <w:t xml:space="preserve">mg/L</w:t>
            </w:r>
            <w:r>
              <w:rPr>
                <w:rFonts w:hint="eastAsia" w:ascii="Times New Roman" w:hAnsi="Times New Roman" w:eastAsia="宋体" w:cs="宋体"/>
                <w:color w:val="000000"/>
                <w:sz w:val="24"/>
                <w:szCs w:val="20"/>
                <w:lang w:val="en-US" w:eastAsia="zh-CN"/>
              </w:rPr>
              <w:t xml:space="preserve">（可扩展）</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准确度</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5</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定量下限</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≤0.0001</w:t>
            </w:r>
            <w:r>
              <w:rPr>
                <w:rFonts w:hint="default" w:ascii="Times New Roman" w:hAnsi="Times New Roman" w:eastAsia="宋体" w:cs="Times New Roman"/>
                <w:color w:val="000000"/>
                <w:sz w:val="24"/>
                <w:szCs w:val="20"/>
                <w:lang w:val="en-US" w:eastAsia="zh-CN"/>
              </w:rPr>
              <w:t xml:space="preserve">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分辨率</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0.00</w:t>
            </w:r>
            <w:r>
              <w:rPr>
                <w:rFonts w:hint="eastAsia" w:ascii="Times New Roman" w:hAnsi="Times New Roman" w:eastAsia="宋体" w:cs="Times New Roman"/>
                <w:color w:val="000000"/>
                <w:sz w:val="24"/>
                <w:szCs w:val="20"/>
                <w:lang w:val="en-US" w:eastAsia="zh-CN"/>
              </w:rPr>
              <w:t xml:space="preserve">0</w:t>
            </w:r>
            <w:r>
              <w:rPr>
                <w:rFonts w:hint="default" w:ascii="Times New Roman" w:hAnsi="Times New Roman" w:eastAsia="宋体" w:cs="Times New Roman"/>
                <w:color w:val="000000"/>
                <w:sz w:val="24"/>
                <w:szCs w:val="20"/>
                <w:lang w:val="en-US" w:eastAsia="zh-CN"/>
              </w:rPr>
              <w:t xml:space="preserve">1mg/L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测量时间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20</w:t>
            </w:r>
            <w:r>
              <w:rPr>
                <w:rFonts w:hint="default" w:ascii="Times New Roman" w:hAnsi="Times New Roman" w:eastAsia="宋体" w:cs="Times New Roman"/>
                <w:color w:val="000000"/>
                <w:sz w:val="24"/>
                <w:szCs w:val="20"/>
                <w:lang w:val="en-US" w:eastAsia="zh-CN"/>
              </w:rPr>
              <w:t xml:space="preserve">min</w:t>
            </w:r>
            <w:r/>
          </w:p>
        </w:tc>
      </w:tr>
      <w:tr>
        <w:trPr>
          <w:trHeight w:val="330"/>
        </w:trPr>
        <w:tc>
          <w:tcPr>
            <w:tcBorders>
              <w:top w:val="single" w:color="auto" w:sz="4" w:space="0"/>
              <w:left w:val="single" w:color="auto" w:sz="4" w:space="0"/>
              <w:right w:val="single" w:color="auto" w:sz="4" w:space="0"/>
            </w:tcBorders>
            <w:tcW w:w="4245" w:type="dxa"/>
            <w:vAlign w:val="center"/>
            <w:vMerge w:val="restart"/>
            <w:textDirection w:val="lrTb"/>
            <w:noWrap w:val="false"/>
          </w:tcPr>
          <w:p>
            <w:pPr>
              <w:ind w:left="0" w:right="0"/>
              <w:jc w:val="center"/>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pacing w:val="-1"/>
                <w:sz w:val="24"/>
                <w:szCs w:val="24"/>
              </w:rPr>
              <w:t xml:space="preserve">仪器功能</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7"/>
                <w:sz w:val="24"/>
                <w:szCs w:val="24"/>
              </w:rPr>
              <w:t xml:space="preserve">▲</w:t>
            </w:r>
            <w:r>
              <w:rPr>
                <w:rFonts w:hint="eastAsia" w:ascii="宋体" w:hAnsi="宋体" w:eastAsia="宋体" w:cs="宋体"/>
                <w:spacing w:val="-1"/>
                <w:sz w:val="24"/>
                <w:szCs w:val="24"/>
              </w:rPr>
              <w:t xml:space="preserve">主控制模块具有两个物理隔离的存储器，具备实时存储备份功能，备份数据和原始数据分别存储在两个物理隔离的存储器。当主控制模块损坏时，从主控制模</w:t>
            </w:r>
            <w:r>
              <w:rPr>
                <w:rFonts w:hint="eastAsia" w:ascii="宋体" w:hAnsi="宋体" w:eastAsia="宋体" w:cs="宋体"/>
                <w:sz w:val="24"/>
                <w:szCs w:val="24"/>
              </w:rPr>
              <w:t xml:space="preserve">块中拔出备份存储器，插入新主控制模块，及时恢复</w:t>
            </w:r>
            <w:r>
              <w:rPr>
                <w:rFonts w:hint="eastAsia" w:ascii="宋体" w:hAnsi="宋体" w:eastAsia="宋体" w:cs="宋体"/>
                <w:spacing w:val="-1"/>
                <w:sz w:val="24"/>
                <w:szCs w:val="24"/>
              </w:rPr>
              <w:t xml:space="preserve">系统，稳定性好。</w:t>
            </w:r>
            <w:r/>
          </w:p>
        </w:tc>
      </w:tr>
      <w:tr>
        <w:trPr>
          <w:trHeight w:val="330"/>
        </w:trPr>
        <w:tc>
          <w:tcPr>
            <w:tcBorders>
              <w:left w:val="single" w:color="auto" w:sz="4" w:space="0"/>
              <w:bottom w:val="single" w:color="auto" w:sz="4" w:space="0"/>
              <w:right w:val="single" w:color="auto" w:sz="4" w:space="0"/>
            </w:tcBorders>
            <w:tcW w:w="4245" w:type="dxa"/>
            <w:vAlign w:val="center"/>
            <w:vMerge w:val="continue"/>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7"/>
                <w:sz w:val="24"/>
                <w:szCs w:val="24"/>
              </w:rPr>
              <w:t xml:space="preserve">▲</w:t>
            </w:r>
            <w:r>
              <w:rPr>
                <w:rFonts w:hint="eastAsia" w:ascii="宋体" w:hAnsi="宋体" w:eastAsia="宋体" w:cs="宋体"/>
                <w:sz w:val="24"/>
                <w:szCs w:val="24"/>
              </w:rPr>
              <w:t xml:space="preserve">双光束检测功能，并能同步检测双通道信号强</w:t>
            </w:r>
            <w:r>
              <w:rPr>
                <w:rFonts w:hint="eastAsia" w:ascii="宋体" w:hAnsi="宋体" w:eastAsia="宋体" w:cs="宋体"/>
                <w:spacing w:val="-1"/>
                <w:sz w:val="24"/>
                <w:szCs w:val="24"/>
              </w:rPr>
              <w:t xml:space="preserve">度。</w:t>
            </w:r>
            <w:r/>
          </w:p>
        </w:tc>
      </w:tr>
    </w:tbl>
    <w:p>
      <w:pPr>
        <w:numPr>
          <w:ilvl w:val="0"/>
          <w:numId w:val="0"/>
        </w:num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outlineLvl w:val="9"/>
      </w:pPr>
      <w:r>
        <w:rPr>
          <w:rFonts w:hint="eastAsia" w:ascii="Times New Roman" w:hAnsi="Times New Roman" w:eastAsia="宋体" w:cs="宋体"/>
          <w:b w:val="0"/>
          <w:bCs w:val="0"/>
          <w:sz w:val="24"/>
          <w:szCs w:val="24"/>
          <w:lang w:val="en-US" w:eastAsia="zh-CN" w:bidi="ar-SA"/>
        </w:rPr>
        <w:t xml:space="preserve">4）</w:t>
      </w:r>
      <w:r>
        <w:rPr>
          <w:rFonts w:hint="eastAsia" w:ascii="Times New Roman" w:hAnsi="Times New Roman" w:eastAsia="宋体" w:cs="宋体"/>
          <w:b w:val="0"/>
          <w:bCs w:val="0"/>
          <w:sz w:val="24"/>
          <w:szCs w:val="21"/>
          <w:lang w:val="en-US" w:eastAsia="zh-CN"/>
        </w:rPr>
        <w:t xml:space="preserve">重金属锌水质分析仪</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2"/>
        <w:gridCol w:w="4274"/>
      </w:tblGrid>
      <w:tr>
        <w:trPr>
          <w:trHeight w:val="48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技术指标</w:t>
            </w:r>
            <w:r/>
          </w:p>
        </w:tc>
      </w:tr>
      <w:tr>
        <w:trPr>
          <w:trHeight w:val="416"/>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阳极溶出伏安法</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测定范围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0~</w:t>
            </w:r>
            <w:r>
              <w:rPr>
                <w:rFonts w:hint="eastAsia" w:ascii="Times New Roman" w:hAnsi="Times New Roman" w:eastAsia="宋体" w:cs="Times New Roman"/>
                <w:color w:val="000000"/>
                <w:sz w:val="24"/>
                <w:szCs w:val="20"/>
                <w:lang w:val="en-US" w:eastAsia="zh-CN"/>
              </w:rPr>
              <w:t xml:space="preserve">5</w:t>
            </w:r>
            <w:r>
              <w:rPr>
                <w:rFonts w:hint="default" w:ascii="Times New Roman" w:hAnsi="Times New Roman" w:eastAsia="宋体" w:cs="Times New Roman"/>
                <w:color w:val="000000"/>
                <w:sz w:val="24"/>
                <w:szCs w:val="20"/>
                <w:lang w:val="en-US" w:eastAsia="zh-CN"/>
              </w:rPr>
              <w:t xml:space="preserve">mg/L</w:t>
            </w:r>
            <w:r>
              <w:rPr>
                <w:rFonts w:hint="eastAsia" w:ascii="Times New Roman" w:hAnsi="Times New Roman" w:eastAsia="宋体" w:cs="宋体"/>
                <w:color w:val="000000"/>
                <w:sz w:val="24"/>
                <w:szCs w:val="20"/>
                <w:lang w:val="en-US" w:eastAsia="zh-CN"/>
              </w:rPr>
              <w:t xml:space="preserve">（可扩展）</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准确度（＞0.1</w:t>
            </w:r>
            <w:r>
              <w:rPr>
                <w:rFonts w:hint="default" w:ascii="Times New Roman" w:hAnsi="Times New Roman" w:eastAsia="宋体" w:cs="Times New Roman"/>
                <w:color w:val="000000"/>
                <w:sz w:val="24"/>
                <w:szCs w:val="20"/>
                <w:lang w:val="en-US" w:eastAsia="zh-CN"/>
              </w:rPr>
              <w:t xml:space="preserve">mg/L</w:t>
            </w:r>
            <w:r>
              <w:rPr>
                <w:rFonts w:hint="eastAsia" w:ascii="Times New Roman" w:hAnsi="Times New Roman" w:eastAsia="宋体" w:cs="宋体"/>
                <w:color w:val="000000"/>
                <w:sz w:val="24"/>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2</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准确度（≤0.1</w:t>
            </w:r>
            <w:r>
              <w:rPr>
                <w:rFonts w:hint="default" w:ascii="Times New Roman" w:hAnsi="Times New Roman" w:eastAsia="宋体" w:cs="Times New Roman"/>
                <w:color w:val="000000"/>
                <w:sz w:val="24"/>
                <w:szCs w:val="20"/>
                <w:lang w:val="en-US" w:eastAsia="zh-CN"/>
              </w:rPr>
              <w:t xml:space="preserve">mg/L</w:t>
            </w:r>
            <w:r>
              <w:rPr>
                <w:rFonts w:hint="eastAsia" w:ascii="Times New Roman" w:hAnsi="Times New Roman" w:eastAsia="宋体" w:cs="宋体"/>
                <w:color w:val="000000"/>
                <w:sz w:val="24"/>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±0.0</w:t>
            </w:r>
            <w:r>
              <w:rPr>
                <w:rFonts w:hint="eastAsia" w:ascii="Times New Roman" w:hAnsi="Times New Roman" w:eastAsia="宋体" w:cs="Times New Roman"/>
                <w:color w:val="000000"/>
                <w:sz w:val="24"/>
                <w:szCs w:val="20"/>
                <w:lang w:val="en-US" w:eastAsia="zh-CN"/>
              </w:rPr>
              <w:t xml:space="preserve">1</w:t>
            </w:r>
            <w:r>
              <w:rPr>
                <w:rFonts w:hint="default" w:ascii="Times New Roman" w:hAnsi="Times New Roman" w:eastAsia="宋体" w:cs="Times New Roman"/>
                <w:color w:val="000000"/>
                <w:sz w:val="24"/>
                <w:szCs w:val="20"/>
                <w:lang w:val="en-US" w:eastAsia="zh-CN"/>
              </w:rPr>
              <w:t xml:space="preserve">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定量下限</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≤0.005</w:t>
            </w:r>
            <w:r>
              <w:rPr>
                <w:rFonts w:hint="default" w:ascii="Times New Roman" w:hAnsi="Times New Roman" w:eastAsia="宋体" w:cs="Times New Roman"/>
                <w:color w:val="000000"/>
                <w:sz w:val="24"/>
                <w:szCs w:val="20"/>
                <w:lang w:val="en-US" w:eastAsia="zh-CN"/>
              </w:rPr>
              <w:t xml:space="preserve">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重复性</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3</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零点漂移</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2</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量程漂移</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3</w:t>
            </w:r>
            <w:r>
              <w:rPr>
                <w:rFonts w:hint="default" w:ascii="Times New Roman" w:hAnsi="Times New Roman" w:eastAsia="宋体" w:cs="Times New Roman"/>
                <w:color w:val="000000"/>
                <w:sz w:val="24"/>
                <w:szCs w:val="20"/>
                <w:lang w:val="en-US" w:eastAsia="zh-CN"/>
              </w:rPr>
              <w:t xml:space="preserve">%</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离子干扰</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±20</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实际水样比对试验</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10%</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分辨率</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0.00</w:t>
            </w:r>
            <w:r>
              <w:rPr>
                <w:rFonts w:hint="eastAsia" w:ascii="Times New Roman" w:hAnsi="Times New Roman" w:eastAsia="宋体" w:cs="Times New Roman"/>
                <w:color w:val="000000"/>
                <w:sz w:val="24"/>
                <w:szCs w:val="20"/>
                <w:lang w:val="en-US" w:eastAsia="zh-CN"/>
              </w:rPr>
              <w:t xml:space="preserve">0</w:t>
            </w:r>
            <w:r>
              <w:rPr>
                <w:rFonts w:hint="default" w:ascii="Times New Roman" w:hAnsi="Times New Roman" w:eastAsia="宋体" w:cs="Times New Roman"/>
                <w:color w:val="000000"/>
                <w:sz w:val="24"/>
                <w:szCs w:val="20"/>
                <w:lang w:val="en-US" w:eastAsia="zh-CN"/>
              </w:rPr>
              <w:t xml:space="preserve">1mg/L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测量时间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15</w:t>
            </w:r>
            <w:r>
              <w:rPr>
                <w:rFonts w:hint="default" w:ascii="Times New Roman" w:hAnsi="Times New Roman" w:eastAsia="宋体" w:cs="Times New Roman"/>
                <w:color w:val="000000"/>
                <w:sz w:val="24"/>
                <w:szCs w:val="20"/>
                <w:lang w:val="en-US" w:eastAsia="zh-CN"/>
              </w:rPr>
              <w:t xml:space="preserve">min</w:t>
            </w:r>
            <w:r/>
          </w:p>
        </w:tc>
      </w:tr>
      <w:tr>
        <w:trPr>
          <w:trHeight w:val="330"/>
        </w:trPr>
        <w:tc>
          <w:tcPr>
            <w:tcBorders>
              <w:top w:val="single" w:color="auto" w:sz="4" w:space="0"/>
              <w:left w:val="single" w:color="auto" w:sz="4" w:space="0"/>
              <w:right w:val="single" w:color="auto" w:sz="4" w:space="0"/>
            </w:tcBorders>
            <w:tcW w:w="4245" w:type="dxa"/>
            <w:vAlign w:val="center"/>
            <w:vMerge w:val="restart"/>
            <w:textDirection w:val="lrTb"/>
            <w:noWrap w:val="false"/>
          </w:tcPr>
          <w:p>
            <w:pPr>
              <w:ind w:left="0" w:right="0"/>
              <w:jc w:val="center"/>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pacing w:val="-1"/>
                <w:sz w:val="24"/>
                <w:szCs w:val="24"/>
              </w:rPr>
              <w:t xml:space="preserve">仪器功能</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7"/>
                <w:sz w:val="24"/>
                <w:szCs w:val="24"/>
              </w:rPr>
              <w:t xml:space="preserve">▲</w:t>
            </w:r>
            <w:r>
              <w:rPr>
                <w:rFonts w:hint="eastAsia" w:ascii="宋体" w:hAnsi="宋体" w:eastAsia="宋体" w:cs="宋体"/>
                <w:spacing w:val="-1"/>
                <w:sz w:val="24"/>
                <w:szCs w:val="24"/>
              </w:rPr>
              <w:t xml:space="preserve">可根据样品实际情况(如浊度、色度),自动调整计量</w:t>
            </w:r>
            <w:r>
              <w:rPr>
                <w:rFonts w:hint="eastAsia" w:ascii="宋体" w:hAnsi="宋体" w:eastAsia="宋体" w:cs="宋体"/>
                <w:spacing w:val="-1"/>
                <w:sz w:val="24"/>
                <w:szCs w:val="24"/>
                <w:u w:val="none"/>
              </w:rPr>
              <w:t xml:space="preserve">进样</w:t>
            </w:r>
            <w:r>
              <w:rPr>
                <w:rFonts w:hint="eastAsia" w:ascii="宋体" w:hAnsi="宋体" w:eastAsia="宋体" w:cs="宋体"/>
                <w:spacing w:val="-1"/>
                <w:sz w:val="24"/>
                <w:szCs w:val="24"/>
              </w:rPr>
              <w:t xml:space="preserve">单元的样品终点信号。</w:t>
            </w:r>
            <w:r/>
          </w:p>
        </w:tc>
      </w:tr>
      <w:tr>
        <w:trPr>
          <w:trHeight w:val="330"/>
        </w:trPr>
        <w:tc>
          <w:tcPr>
            <w:tcBorders>
              <w:left w:val="single" w:color="auto" w:sz="4" w:space="0"/>
              <w:bottom w:val="single" w:color="auto" w:sz="4" w:space="0"/>
              <w:right w:val="single" w:color="auto" w:sz="4" w:space="0"/>
            </w:tcBorders>
            <w:tcW w:w="4245" w:type="dxa"/>
            <w:vAlign w:val="center"/>
            <w:vMerge w:val="continue"/>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rPr>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pacing w:val="7"/>
                <w:sz w:val="24"/>
                <w:szCs w:val="24"/>
              </w:rPr>
              <w:t xml:space="preserve">▲</w:t>
            </w:r>
            <w:r>
              <w:rPr>
                <w:rFonts w:hint="eastAsia" w:ascii="宋体" w:hAnsi="宋体" w:eastAsia="宋体" w:cs="宋体"/>
                <w:sz w:val="24"/>
                <w:szCs w:val="24"/>
              </w:rPr>
              <w:t xml:space="preserve">具有光信号调制技术，不受外界光干扰。</w:t>
            </w:r>
            <w:r/>
          </w:p>
        </w:tc>
      </w:tr>
    </w:tbl>
    <w:p>
      <w:pPr>
        <w:numPr>
          <w:ilvl w:val="0"/>
          <w:numId w:val="0"/>
        </w:num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outlineLvl w:val="9"/>
      </w:pPr>
      <w:r>
        <w:rPr>
          <w:rFonts w:hint="eastAsia" w:ascii="Times New Roman" w:hAnsi="Times New Roman" w:eastAsia="宋体" w:cs="宋体"/>
          <w:b w:val="0"/>
          <w:bCs w:val="0"/>
          <w:sz w:val="24"/>
          <w:szCs w:val="24"/>
          <w:lang w:val="en-US" w:eastAsia="zh-CN" w:bidi="ar-SA"/>
        </w:rPr>
        <w:t xml:space="preserve">5）</w:t>
      </w:r>
      <w:r>
        <w:rPr>
          <w:rFonts w:hint="eastAsia" w:ascii="Times New Roman" w:hAnsi="Times New Roman" w:eastAsia="宋体" w:cs="宋体"/>
          <w:b w:val="0"/>
          <w:bCs w:val="0"/>
          <w:sz w:val="24"/>
          <w:szCs w:val="21"/>
          <w:lang w:val="en-US" w:eastAsia="zh-CN"/>
        </w:rPr>
        <w:t xml:space="preserve">重金属砷水质分析仪</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2"/>
        <w:gridCol w:w="4274"/>
      </w:tblGrid>
      <w:tr>
        <w:trPr>
          <w:trHeight w:val="48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w:t>
            </w:r>
            <w:r>
              <w:rPr>
                <w:rFonts w:hint="default" w:ascii="Times New Roman" w:hAnsi="Times New Roman" w:eastAsia="宋体" w:cs="Times New Roman"/>
                <w:color w:val="000000"/>
                <w:sz w:val="24"/>
                <w:szCs w:val="20"/>
                <w:lang w:val="en-US" w:eastAsia="zh-CN"/>
              </w:rPr>
              <w:t xml:space="preserve">   </w:t>
            </w:r>
            <w:r>
              <w:rPr>
                <w:rFonts w:hint="eastAsia" w:ascii="Times New Roman" w:hAnsi="Times New Roman" w:eastAsia="宋体" w:cs="宋体"/>
                <w:color w:val="000000"/>
                <w:sz w:val="24"/>
                <w:szCs w:val="20"/>
                <w:lang w:val="en-US" w:eastAsia="zh-CN"/>
              </w:rPr>
              <w:t xml:space="preserve">目</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技术指标</w:t>
            </w:r>
            <w:r/>
          </w:p>
        </w:tc>
      </w:tr>
      <w:tr>
        <w:trPr>
          <w:trHeight w:val="416"/>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新银盐分光光度法</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测定范围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0~</w:t>
            </w:r>
            <w:r>
              <w:rPr>
                <w:rFonts w:hint="eastAsia" w:ascii="Times New Roman" w:hAnsi="Times New Roman" w:eastAsia="宋体" w:cs="Times New Roman"/>
                <w:color w:val="000000"/>
                <w:sz w:val="24"/>
                <w:szCs w:val="20"/>
                <w:lang w:val="en-US" w:eastAsia="zh-CN"/>
              </w:rPr>
              <w:t xml:space="preserve">50</w:t>
            </w:r>
            <w:r>
              <w:rPr>
                <w:rFonts w:hint="default" w:ascii="Times New Roman" w:hAnsi="Times New Roman" w:eastAsia="宋体" w:cs="Times New Roman"/>
                <w:color w:val="000000"/>
                <w:sz w:val="24"/>
                <w:szCs w:val="20"/>
                <w:lang w:val="en-US" w:eastAsia="zh-CN"/>
              </w:rPr>
              <w:t xml:space="preserve">mg/L</w:t>
            </w:r>
            <w:r>
              <w:rPr>
                <w:rFonts w:hint="eastAsia" w:ascii="Times New Roman" w:hAnsi="Times New Roman" w:eastAsia="宋体" w:cs="宋体"/>
                <w:color w:val="000000"/>
                <w:sz w:val="24"/>
                <w:szCs w:val="20"/>
                <w:lang w:val="en-US" w:eastAsia="zh-CN"/>
              </w:rPr>
              <w:t xml:space="preserve">（可扩展）</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准确度</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5</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检出限</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≤0.002</w:t>
            </w:r>
            <w:r>
              <w:rPr>
                <w:rFonts w:hint="default" w:ascii="Times New Roman" w:hAnsi="Times New Roman" w:eastAsia="宋体" w:cs="Times New Roman"/>
                <w:color w:val="000000"/>
                <w:sz w:val="24"/>
                <w:szCs w:val="20"/>
                <w:lang w:val="en-US" w:eastAsia="zh-CN"/>
              </w:rPr>
              <w:t xml:space="preserve">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分辨率</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0.00</w:t>
            </w:r>
            <w:r>
              <w:rPr>
                <w:rFonts w:hint="eastAsia" w:ascii="Times New Roman" w:hAnsi="Times New Roman" w:eastAsia="宋体" w:cs="Times New Roman"/>
                <w:color w:val="000000"/>
                <w:sz w:val="24"/>
                <w:szCs w:val="20"/>
                <w:lang w:val="en-US" w:eastAsia="zh-CN"/>
              </w:rPr>
              <w:t xml:space="preserve">0</w:t>
            </w:r>
            <w:r>
              <w:rPr>
                <w:rFonts w:hint="default" w:ascii="Times New Roman" w:hAnsi="Times New Roman" w:eastAsia="宋体" w:cs="Times New Roman"/>
                <w:color w:val="000000"/>
                <w:sz w:val="24"/>
                <w:szCs w:val="20"/>
                <w:lang w:val="en-US" w:eastAsia="zh-CN"/>
              </w:rPr>
              <w:t xml:space="preserve">1mg/L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测量时间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35</w:t>
            </w:r>
            <w:r>
              <w:rPr>
                <w:rFonts w:hint="default" w:ascii="Times New Roman" w:hAnsi="Times New Roman" w:eastAsia="宋体" w:cs="Times New Roman"/>
                <w:color w:val="000000"/>
                <w:sz w:val="24"/>
                <w:szCs w:val="20"/>
                <w:lang w:val="en-US" w:eastAsia="zh-CN"/>
              </w:rPr>
              <w:t xml:space="preserve">min</w:t>
            </w:r>
            <w:r/>
          </w:p>
        </w:tc>
      </w:tr>
    </w:tbl>
    <w:p>
      <w:pPr>
        <w:numPr>
          <w:ilvl w:val="0"/>
          <w:numId w:val="0"/>
        </w:num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outlineLvl w:val="9"/>
      </w:pPr>
      <w:r>
        <w:rPr>
          <w:rFonts w:hint="eastAsia" w:ascii="Times New Roman" w:hAnsi="Times New Roman" w:eastAsia="宋体" w:cs="宋体"/>
          <w:b w:val="0"/>
          <w:bCs w:val="0"/>
          <w:sz w:val="24"/>
          <w:szCs w:val="24"/>
          <w:lang w:val="en-US" w:eastAsia="zh-CN" w:bidi="ar-SA"/>
        </w:rPr>
        <w:t xml:space="preserve">6）</w:t>
      </w:r>
      <w:r>
        <w:rPr>
          <w:rFonts w:hint="eastAsia" w:ascii="Times New Roman" w:hAnsi="Times New Roman" w:eastAsia="宋体" w:cs="宋体"/>
          <w:b w:val="0"/>
          <w:bCs w:val="0"/>
          <w:sz w:val="24"/>
          <w:szCs w:val="21"/>
          <w:lang w:val="en-US" w:eastAsia="zh-CN"/>
        </w:rPr>
        <w:t xml:space="preserve">挥发酚水质分析仪</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2"/>
        <w:gridCol w:w="4274"/>
      </w:tblGrid>
      <w:tr>
        <w:trPr>
          <w:trHeight w:val="48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w:t>
            </w:r>
            <w:r>
              <w:rPr>
                <w:rFonts w:hint="default" w:ascii="Times New Roman" w:hAnsi="Times New Roman" w:eastAsia="宋体" w:cs="Times New Roman"/>
                <w:color w:val="000000"/>
                <w:sz w:val="24"/>
                <w:szCs w:val="20"/>
                <w:lang w:val="en-US" w:eastAsia="zh-CN"/>
              </w:rPr>
              <w:t xml:space="preserve">   </w:t>
            </w:r>
            <w:r>
              <w:rPr>
                <w:rFonts w:hint="eastAsia" w:ascii="Times New Roman" w:hAnsi="Times New Roman" w:eastAsia="宋体" w:cs="宋体"/>
                <w:color w:val="000000"/>
                <w:sz w:val="24"/>
                <w:szCs w:val="20"/>
                <w:lang w:val="en-US" w:eastAsia="zh-CN"/>
              </w:rPr>
              <w:t xml:space="preserve">目</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技术指标</w:t>
            </w:r>
            <w:r/>
          </w:p>
        </w:tc>
      </w:tr>
      <w:tr>
        <w:trPr>
          <w:trHeight w:val="416"/>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4-</w:t>
            </w:r>
            <w:r>
              <w:rPr>
                <w:rFonts w:hint="eastAsia" w:ascii="Times New Roman" w:hAnsi="Times New Roman" w:eastAsia="宋体" w:cs="宋体"/>
                <w:color w:val="000000"/>
                <w:sz w:val="24"/>
                <w:szCs w:val="20"/>
                <w:lang w:val="en-US" w:eastAsia="zh-CN"/>
              </w:rPr>
              <w:t xml:space="preserve">氨基安替比林分光光度法</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测定范围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0~1mg/L</w:t>
            </w:r>
            <w:r>
              <w:rPr>
                <w:rFonts w:hint="eastAsia" w:ascii="Times New Roman" w:hAnsi="Times New Roman" w:eastAsia="宋体" w:cs="宋体"/>
                <w:color w:val="000000"/>
                <w:sz w:val="24"/>
                <w:szCs w:val="20"/>
                <w:lang w:val="en-US" w:eastAsia="zh-CN"/>
              </w:rPr>
              <w:t xml:space="preserve">（可扩展）</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准确度</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2%</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重复性</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2%</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零点漂移</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3</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量程漂移</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3</w:t>
            </w:r>
            <w:r>
              <w:rPr>
                <w:rFonts w:hint="default" w:ascii="Times New Roman" w:hAnsi="Times New Roman" w:eastAsia="宋体" w:cs="Times New Roman"/>
                <w:color w:val="000000"/>
                <w:sz w:val="24"/>
                <w:szCs w:val="20"/>
                <w:lang w:val="en-US" w:eastAsia="zh-CN"/>
              </w:rPr>
              <w:t xml:space="preserve">%</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检出限</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0.001mg/L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实际水样比对试验</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10%</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分辨率</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0.001mg/L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测量时间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60min</w:t>
            </w:r>
            <w:r/>
          </w:p>
        </w:tc>
      </w:tr>
      <w:tr>
        <w:trPr>
          <w:trHeight w:val="36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平均无故障运行时间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1440h/</w:t>
            </w:r>
            <w:r>
              <w:rPr>
                <w:rFonts w:hint="eastAsia" w:ascii="Times New Roman" w:hAnsi="Times New Roman" w:eastAsia="宋体" w:cs="宋体"/>
                <w:color w:val="000000"/>
                <w:sz w:val="24"/>
                <w:szCs w:val="20"/>
                <w:lang w:val="en-US" w:eastAsia="zh-CN"/>
              </w:rPr>
              <w:t xml:space="preserve">次</w:t>
            </w:r>
            <w:r/>
          </w:p>
        </w:tc>
      </w:tr>
    </w:tbl>
    <w:p>
      <w:pPr>
        <w:numPr>
          <w:ilvl w:val="0"/>
          <w:numId w:val="0"/>
        </w:numPr>
        <w:ind w:firstLine="480"/>
        <w:keepLines w:val="0"/>
        <w:keepNext w:val="0"/>
        <w:pageBreakBefore w:val="0"/>
        <w:spacing w:line="560" w:lineRule="exact"/>
        <w:widowControl w:val="off"/>
        <w:rPr>
          <w:rFonts w:hint="eastAsia" w:ascii="Times New Roman" w:hAnsi="Times New Roman" w:eastAsia="宋体" w:cs="宋体"/>
          <w:b w:val="0"/>
          <w:bCs w:val="0"/>
          <w:sz w:val="24"/>
          <w:szCs w:val="21"/>
          <w:highlight w:val="none"/>
          <w:lang w:val="en-US" w:eastAsia="zh-CN"/>
        </w:rPr>
        <w:outlineLvl w:val="9"/>
      </w:pPr>
      <w:r>
        <w:rPr>
          <w:rFonts w:hint="eastAsia" w:ascii="Times New Roman" w:hAnsi="Times New Roman" w:eastAsia="宋体" w:cs="宋体"/>
          <w:b w:val="0"/>
          <w:bCs w:val="0"/>
          <w:sz w:val="24"/>
          <w:szCs w:val="24"/>
          <w:highlight w:val="none"/>
          <w:lang w:val="en-US" w:eastAsia="zh-CN" w:bidi="ar-SA"/>
        </w:rPr>
        <w:t xml:space="preserve">7）VOC</w:t>
      </w:r>
      <w:r>
        <w:rPr>
          <w:rFonts w:hint="eastAsia" w:ascii="Times New Roman" w:hAnsi="Times New Roman" w:eastAsia="宋体" w:cs="宋体"/>
          <w:b w:val="0"/>
          <w:bCs w:val="0"/>
          <w:sz w:val="24"/>
          <w:szCs w:val="21"/>
          <w:highlight w:val="none"/>
          <w:lang w:val="en-US" w:eastAsia="zh-CN"/>
        </w:rPr>
        <w:t xml:space="preserve">水质分析仪</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8"/>
        <w:gridCol w:w="4258"/>
      </w:tblGrid>
      <w:tr>
        <w:trPr>
          <w:jc w:val="center"/>
        </w:trPr>
        <w:tc>
          <w:tcPr>
            <w:tcBorders>
              <w:top w:val="single" w:color="auto" w:sz="4" w:space="0"/>
              <w:left w:val="single" w:color="auto" w:sz="4" w:space="0"/>
              <w:bottom w:val="single" w:color="auto" w:sz="4" w:space="0"/>
              <w:right w:val="single" w:color="auto" w:sz="4" w:space="0"/>
            </w:tcBorders>
            <w:tcW w:w="4261"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4261"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技术指标参数</w:t>
            </w:r>
            <w:r/>
          </w:p>
        </w:tc>
      </w:tr>
      <w:tr>
        <w:trPr>
          <w:jc w:val="cente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吹扫捕集-气相色谱</w:t>
            </w:r>
            <w:r/>
          </w:p>
        </w:tc>
      </w:tr>
      <w:tr>
        <w:trPr>
          <w:jc w:val="cente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定性重复值</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定量重复值</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准确度</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±15%</w:t>
            </w:r>
            <w:r/>
          </w:p>
        </w:tc>
      </w:tr>
      <w:tr>
        <w:trPr>
          <w:jc w:val="cente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检出限</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≤7</w:t>
            </w:r>
            <w:r>
              <w:rPr>
                <w:rFonts w:hint="default" w:ascii="Times New Roman" w:hAnsi="Times New Roman" w:eastAsia="宋体" w:cs="宋体"/>
                <w:color w:val="000000"/>
                <w:sz w:val="24"/>
                <w:szCs w:val="20"/>
                <w:lang w:val="en-US" w:eastAsia="zh-CN"/>
              </w:rPr>
              <w:t xml:space="preserve">ug/L</w:t>
            </w:r>
            <w:r/>
          </w:p>
        </w:tc>
      </w:tr>
      <w:tr>
        <w:trPr>
          <w:jc w:val="cente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线性</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R≥0.99</w:t>
            </w:r>
            <w:r/>
          </w:p>
        </w:tc>
      </w:tr>
    </w:tbl>
    <w:p>
      <w:pPr>
        <w:numPr>
          <w:ilvl w:val="0"/>
          <w:numId w:val="0"/>
        </w:numPr>
        <w:ind w:firstLine="480"/>
        <w:keepLines w:val="0"/>
        <w:keepNext w:val="0"/>
        <w:pageBreakBefore w:val="0"/>
        <w:spacing w:line="560" w:lineRule="exact"/>
        <w:widowControl w:val="off"/>
        <w:rPr>
          <w:rFonts w:hint="eastAsia" w:ascii="Times New Roman" w:hAnsi="Times New Roman" w:eastAsia="宋体" w:cs="宋体"/>
          <w:b w:val="0"/>
          <w:bCs w:val="0"/>
          <w:sz w:val="24"/>
          <w:szCs w:val="24"/>
          <w:highlight w:val="yellow"/>
          <w:lang w:val="en-US" w:eastAsia="zh-CN" w:bidi="ar-SA"/>
        </w:rPr>
        <w:outlineLvl w:val="9"/>
      </w:pPr>
      <w:r>
        <w:rPr>
          <w:rFonts w:hint="eastAsia" w:ascii="Times New Roman" w:hAnsi="Times New Roman" w:eastAsia="宋体" w:cs="宋体"/>
          <w:b w:val="0"/>
          <w:bCs w:val="0"/>
          <w:sz w:val="24"/>
          <w:szCs w:val="24"/>
          <w:highlight w:val="none"/>
          <w:lang w:val="en-US" w:eastAsia="zh-CN" w:bidi="ar-SA"/>
        </w:rPr>
        <w:t xml:space="preserve">8）生物毒性分析仪</w:t>
      </w:r>
      <w:r/>
    </w:p>
    <w:tbl>
      <w:tblPr>
        <w:tblStyle w:val="752"/>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9"/>
        <w:gridCol w:w="6171"/>
      </w:tblGrid>
      <w:tr>
        <w:trPr>
          <w:jc w:val="center"/>
          <w:trHeight w:val="394"/>
        </w:trPr>
        <w:tc>
          <w:tcPr>
            <w:tcW w:w="2469"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项目</w:t>
            </w:r>
            <w:r/>
          </w:p>
        </w:tc>
        <w:tc>
          <w:tcPr>
            <w:tcW w:w="6171"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技术指数参数</w:t>
            </w:r>
            <w:r/>
          </w:p>
        </w:tc>
      </w:tr>
      <w:tr>
        <w:trPr>
          <w:jc w:val="center"/>
          <w:trHeight w:val="394"/>
        </w:trPr>
        <w:tc>
          <w:tcPr>
            <w:tcW w:w="2469"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测量原理</w:t>
            </w:r>
            <w:r/>
          </w:p>
        </w:tc>
        <w:tc>
          <w:tcPr>
            <w:tcW w:w="6171"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通过细菌发光强度的变化指示样品的潜在毒性</w:t>
            </w:r>
            <w:r/>
          </w:p>
        </w:tc>
      </w:tr>
      <w:tr>
        <w:trPr>
          <w:jc w:val="center"/>
          <w:trHeight w:val="394"/>
        </w:trPr>
        <w:tc>
          <w:tcPr>
            <w:tcW w:w="2469"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最大计数率</w:t>
            </w:r>
            <w:r/>
          </w:p>
        </w:tc>
        <w:tc>
          <w:tcPr>
            <w:tcW w:w="6171"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＞1.2Ms</w:t>
            </w:r>
            <w:r/>
          </w:p>
        </w:tc>
      </w:tr>
      <w:tr>
        <w:trPr>
          <w:jc w:val="center"/>
          <w:trHeight w:val="394"/>
        </w:trPr>
        <w:tc>
          <w:tcPr>
            <w:tcW w:w="2469"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可探测光谱范围</w:t>
            </w:r>
            <w:r/>
          </w:p>
        </w:tc>
        <w:tc>
          <w:tcPr>
            <w:tcW w:w="6171"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300-650nm</w:t>
            </w:r>
            <w:r/>
          </w:p>
        </w:tc>
      </w:tr>
      <w:tr>
        <w:trPr>
          <w:jc w:val="center"/>
          <w:trHeight w:val="394"/>
        </w:trPr>
        <w:tc>
          <w:tcPr>
            <w:tcW w:w="2469"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细菌工作温度</w:t>
            </w:r>
            <w:r/>
          </w:p>
        </w:tc>
        <w:tc>
          <w:tcPr>
            <w:tcW w:w="6171"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15-20℃</w:t>
            </w:r>
            <w:r/>
          </w:p>
        </w:tc>
      </w:tr>
      <w:tr>
        <w:trPr>
          <w:jc w:val="center"/>
          <w:trHeight w:val="394"/>
        </w:trPr>
        <w:tc>
          <w:tcPr>
            <w:tcW w:w="2469"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纯水检测光损失</w:t>
            </w:r>
            <w:r/>
          </w:p>
        </w:tc>
        <w:tc>
          <w:tcPr>
            <w:tcW w:w="6171"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±5%</w:t>
            </w:r>
            <w:r/>
          </w:p>
        </w:tc>
      </w:tr>
      <w:tr>
        <w:trPr>
          <w:jc w:val="center"/>
          <w:trHeight w:val="394"/>
        </w:trPr>
        <w:tc>
          <w:tcPr>
            <w:tcW w:w="2469" w:type="dxa"/>
            <w:vAlign w:val="center"/>
            <w:vMerge w:val="restart"/>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检测精度</w:t>
            </w:r>
            <w:r/>
          </w:p>
        </w:tc>
        <w:tc>
          <w:tcPr>
            <w:tcW w:w="6171"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EC50Zn2+≤5.0mg/L（ZnSO4为标准样）</w:t>
            </w:r>
            <w:r/>
          </w:p>
        </w:tc>
      </w:tr>
      <w:tr>
        <w:trPr>
          <w:jc w:val="center"/>
          <w:trHeight w:val="394"/>
        </w:trPr>
        <w:tc>
          <w:tcPr>
            <w:tcW w:w="2469" w:type="dxa"/>
            <w:vAlign w:val="center"/>
            <w:vMerge w:val="continue"/>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r>
            <w:r/>
          </w:p>
        </w:tc>
        <w:tc>
          <w:tcPr>
            <w:tcW w:w="6171"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RSD&lt;10%</w:t>
            </w:r>
            <w:r/>
          </w:p>
        </w:tc>
      </w:tr>
      <w:tr>
        <w:trPr>
          <w:jc w:val="center"/>
          <w:trHeight w:val="394"/>
        </w:trPr>
        <w:tc>
          <w:tcPr>
            <w:tcW w:w="2469"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响应时间</w:t>
            </w:r>
            <w:r/>
          </w:p>
        </w:tc>
        <w:tc>
          <w:tcPr>
            <w:tcW w:w="6171"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5-30min</w:t>
            </w:r>
            <w:r/>
          </w:p>
        </w:tc>
      </w:tr>
      <w:tr>
        <w:trPr>
          <w:jc w:val="center"/>
          <w:trHeight w:val="394"/>
        </w:trPr>
        <w:tc>
          <w:tcPr>
            <w:tcW w:w="2469"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平均无故障运行时间</w:t>
            </w:r>
            <w:r/>
          </w:p>
        </w:tc>
        <w:tc>
          <w:tcPr>
            <w:tcW w:w="6171"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≥1440h</w:t>
            </w:r>
            <w:r/>
          </w:p>
        </w:tc>
      </w:tr>
    </w:tbl>
    <w:p>
      <w:pPr>
        <w:numPr>
          <w:ilvl w:val="0"/>
          <w:numId w:val="0"/>
        </w:numPr>
        <w:ind w:firstLine="480"/>
        <w:keepLines w:val="0"/>
        <w:keepNext w:val="0"/>
        <w:pageBreakBefore w:val="0"/>
        <w:spacing w:line="560" w:lineRule="exact"/>
        <w:widowControl w:val="off"/>
        <w:rPr>
          <w:rFonts w:hint="eastAsia" w:ascii="Times New Roman" w:hAnsi="Times New Roman" w:eastAsia="宋体" w:cs="宋体"/>
          <w:b w:val="0"/>
          <w:bCs w:val="0"/>
          <w:sz w:val="24"/>
          <w:szCs w:val="24"/>
          <w:lang w:val="en-US" w:eastAsia="zh-CN" w:bidi="ar-SA"/>
        </w:rPr>
        <w:outlineLvl w:val="9"/>
      </w:pPr>
      <w:r>
        <w:rPr>
          <w:rFonts w:hint="eastAsia" w:ascii="Times New Roman" w:hAnsi="Times New Roman" w:eastAsia="宋体" w:cs="宋体"/>
          <w:b w:val="0"/>
          <w:bCs w:val="0"/>
          <w:sz w:val="24"/>
          <w:szCs w:val="24"/>
          <w:lang w:val="en-US" w:eastAsia="zh-CN" w:bidi="ar-SA"/>
        </w:rPr>
        <w:t xml:space="preserve">9）藻密度分析仪</w:t>
      </w:r>
      <w:r/>
    </w:p>
    <w:tbl>
      <w:tblPr>
        <w:tblStyle w:val="752"/>
        <w:tblW w:w="51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3"/>
        <w:gridCol w:w="6967"/>
      </w:tblGrid>
      <w:tr>
        <w:trPr>
          <w:jc w:val="center"/>
          <w:trHeight w:val="363"/>
          <w:tblHeader/>
        </w:trPr>
        <w:tc>
          <w:tcPr>
            <w:tcW w:w="1028"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项目</w:t>
            </w:r>
            <w:r/>
          </w:p>
        </w:tc>
        <w:tc>
          <w:tcPr>
            <w:tcW w:w="3971"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技术指标</w:t>
            </w:r>
            <w:r/>
          </w:p>
        </w:tc>
      </w:tr>
      <w:tr>
        <w:trPr>
          <w:jc w:val="center"/>
          <w:trHeight w:val="363"/>
        </w:trPr>
        <w:tc>
          <w:tcPr>
            <w:tcW w:w="1028"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eastAsia" w:ascii="Times New Roman" w:hAnsi="Times New Roman" w:eastAsia="宋体" w:cs="宋体"/>
                <w:b/>
                <w:bCs/>
                <w:spacing w:val="7"/>
                <w:sz w:val="24"/>
                <w:szCs w:val="23"/>
              </w:rPr>
              <w:t xml:space="preserve">▲</w:t>
            </w:r>
            <w:r>
              <w:rPr>
                <w:rFonts w:hint="default" w:ascii="宋体" w:hAnsi="宋体" w:eastAsia="宋体" w:cs="Times New Roman"/>
                <w:sz w:val="24"/>
                <w:szCs w:val="24"/>
                <w:highlight w:val="none"/>
              </w:rPr>
              <w:t xml:space="preserve">测定原理</w:t>
            </w:r>
            <w:r/>
          </w:p>
        </w:tc>
        <w:tc>
          <w:tcPr>
            <w:tcW w:w="3971" w:type="pct"/>
            <w:vAlign w:val="center"/>
            <w:textDirection w:val="lrTb"/>
            <w:noWrap w:val="false"/>
          </w:tcPr>
          <w:p>
            <w:pPr>
              <w:spacing w:line="360" w:lineRule="auto"/>
              <w:tabs>
                <w:tab w:val="left" w:pos="4410" w:leader="none"/>
              </w:tabs>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采用8波段及以上的荧光指纹谱图分析法</w:t>
            </w:r>
            <w:r>
              <w:rPr>
                <w:rFonts w:hint="eastAsia" w:ascii="宋体" w:hAnsi="宋体" w:cs="Times New Roman"/>
                <w:sz w:val="24"/>
                <w:szCs w:val="24"/>
                <w:highlight w:val="none"/>
                <w:lang w:eastAsia="zh-CN"/>
              </w:rPr>
              <w:t xml:space="preserve">。</w:t>
            </w:r>
            <w:r/>
          </w:p>
        </w:tc>
      </w:tr>
      <w:tr>
        <w:trPr>
          <w:jc w:val="center"/>
          <w:trHeight w:val="363"/>
        </w:trPr>
        <w:tc>
          <w:tcPr>
            <w:tcW w:w="1028"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测量参数</w:t>
            </w:r>
            <w:r/>
          </w:p>
        </w:tc>
        <w:tc>
          <w:tcPr>
            <w:tcW w:w="3971"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蓝藻、绿藻、隐藻、硅藻、甲藻</w:t>
            </w:r>
            <w:r>
              <w:rPr>
                <w:rFonts w:hint="eastAsia" w:ascii="宋体" w:hAnsi="宋体" w:eastAsia="宋体" w:cs="Times New Roman"/>
                <w:sz w:val="24"/>
                <w:szCs w:val="24"/>
                <w:highlight w:val="none"/>
              </w:rPr>
              <w:t xml:space="preserve">、</w:t>
            </w:r>
            <w:r>
              <w:rPr>
                <w:rFonts w:hint="default" w:ascii="宋体" w:hAnsi="宋体" w:eastAsia="宋体" w:cs="Times New Roman"/>
                <w:sz w:val="24"/>
                <w:szCs w:val="24"/>
                <w:highlight w:val="none"/>
              </w:rPr>
              <w:t xml:space="preserve">总叶绿素a</w:t>
            </w:r>
            <w:r>
              <w:rPr>
                <w:rFonts w:hint="default" w:ascii="宋体" w:hAnsi="宋体" w:eastAsia="宋体" w:cs="Times New Roman"/>
                <w:sz w:val="24"/>
                <w:szCs w:val="24"/>
                <w:highlight w:val="none"/>
                <w:lang w:val="en-US" w:eastAsia="zh-CN"/>
              </w:rPr>
              <w:t xml:space="preserve">及黄色物质，且具备温度辅助测量功能</w:t>
            </w:r>
            <w:r>
              <w:rPr>
                <w:rFonts w:hint="eastAsia" w:ascii="宋体" w:hAnsi="宋体" w:cs="Times New Roman"/>
                <w:sz w:val="24"/>
                <w:szCs w:val="24"/>
                <w:highlight w:val="none"/>
                <w:lang w:val="en-US" w:eastAsia="zh-CN"/>
              </w:rPr>
              <w:t xml:space="preserve">。</w:t>
            </w:r>
            <w:r/>
          </w:p>
        </w:tc>
      </w:tr>
      <w:tr>
        <w:trPr>
          <w:jc w:val="center"/>
          <w:trHeight w:val="363"/>
        </w:trPr>
        <w:tc>
          <w:tcPr>
            <w:tcW w:w="1028"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光源</w:t>
            </w:r>
            <w:r/>
          </w:p>
        </w:tc>
        <w:tc>
          <w:tcPr>
            <w:tcW w:w="3971"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激发波长和光源数均应不少于6个</w:t>
            </w:r>
            <w:r/>
          </w:p>
        </w:tc>
      </w:tr>
      <w:tr>
        <w:trPr>
          <w:jc w:val="center"/>
          <w:trHeight w:val="90"/>
        </w:trPr>
        <w:tc>
          <w:tcPr>
            <w:tcW w:w="1028"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eastAsia" w:ascii="Times New Roman" w:hAnsi="Times New Roman" w:eastAsia="宋体" w:cs="宋体"/>
                <w:b/>
                <w:bCs/>
                <w:spacing w:val="7"/>
                <w:sz w:val="24"/>
                <w:szCs w:val="23"/>
              </w:rPr>
              <w:t xml:space="preserve">▲</w:t>
            </w:r>
            <w:r>
              <w:rPr>
                <w:rFonts w:hint="default" w:ascii="宋体" w:hAnsi="宋体" w:eastAsia="宋体" w:cs="Times New Roman"/>
                <w:sz w:val="24"/>
                <w:szCs w:val="24"/>
                <w:highlight w:val="none"/>
              </w:rPr>
              <w:t xml:space="preserve">测量范围</w:t>
            </w:r>
            <w:r/>
          </w:p>
        </w:tc>
        <w:tc>
          <w:tcPr>
            <w:tcW w:w="3971"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测量范围：0~500ug/L</w:t>
            </w:r>
            <w:r/>
          </w:p>
        </w:tc>
      </w:tr>
      <w:tr>
        <w:trPr>
          <w:jc w:val="center"/>
          <w:trHeight w:val="363"/>
        </w:trPr>
        <w:tc>
          <w:tcPr>
            <w:tcW w:w="1028"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分辨率</w:t>
            </w:r>
            <w:r/>
          </w:p>
        </w:tc>
        <w:tc>
          <w:tcPr>
            <w:tcW w:w="3971"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0.01ug/L</w:t>
            </w:r>
            <w:r/>
          </w:p>
        </w:tc>
      </w:tr>
      <w:tr>
        <w:trPr>
          <w:jc w:val="center"/>
          <w:trHeight w:val="363"/>
        </w:trPr>
        <w:tc>
          <w:tcPr>
            <w:tcW w:w="1028"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检测限</w:t>
            </w:r>
            <w:r/>
          </w:p>
        </w:tc>
        <w:tc>
          <w:tcPr>
            <w:tcW w:w="3971"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检测限：≤0.05μg/L</w:t>
            </w:r>
            <w:r/>
          </w:p>
        </w:tc>
      </w:tr>
      <w:tr>
        <w:trPr>
          <w:jc w:val="center"/>
          <w:trHeight w:val="363"/>
        </w:trPr>
        <w:tc>
          <w:tcPr>
            <w:tcW w:w="1028"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精度</w:t>
            </w:r>
            <w:r/>
          </w:p>
        </w:tc>
        <w:tc>
          <w:tcPr>
            <w:tcW w:w="3971"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±2%FS(0-100ug/L)</w:t>
            </w:r>
            <w:r/>
          </w:p>
        </w:tc>
      </w:tr>
      <w:tr>
        <w:trPr>
          <w:jc w:val="center"/>
          <w:trHeight w:val="363"/>
        </w:trPr>
        <w:tc>
          <w:tcPr>
            <w:tcW w:w="1028"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准确度</w:t>
            </w:r>
            <w:r/>
          </w:p>
        </w:tc>
        <w:tc>
          <w:tcPr>
            <w:tcW w:w="3971"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≤±10%</w:t>
            </w:r>
            <w:r/>
          </w:p>
        </w:tc>
      </w:tr>
      <w:tr>
        <w:trPr>
          <w:jc w:val="center"/>
          <w:trHeight w:val="363"/>
        </w:trPr>
        <w:tc>
          <w:tcPr>
            <w:tcW w:w="1028"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接口</w:t>
            </w:r>
            <w:r/>
          </w:p>
        </w:tc>
        <w:tc>
          <w:tcPr>
            <w:tcW w:w="3971"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RS485</w:t>
            </w:r>
            <w:r/>
          </w:p>
        </w:tc>
      </w:tr>
      <w:tr>
        <w:trPr>
          <w:jc w:val="center"/>
          <w:trHeight w:val="363"/>
        </w:trPr>
        <w:tc>
          <w:tcPr>
            <w:tcW w:w="1028" w:type="pct"/>
            <w:vAlign w:val="center"/>
            <w:textDirection w:val="lrTb"/>
            <w:noWrap w:val="false"/>
          </w:tcPr>
          <w:p>
            <w:pPr>
              <w:spacing w:line="360" w:lineRule="auto"/>
              <w:tabs>
                <w:tab w:val="left" w:pos="4410" w:leader="none"/>
              </w:tabs>
              <w:rPr>
                <w:rFonts w:hint="default" w:ascii="宋体" w:hAnsi="宋体" w:eastAsia="宋体" w:cs="Times New Roman"/>
                <w:sz w:val="24"/>
                <w:szCs w:val="24"/>
                <w:highlight w:val="none"/>
              </w:rPr>
            </w:pPr>
            <w:r>
              <w:rPr>
                <w:rFonts w:hint="eastAsia" w:ascii="Times New Roman" w:hAnsi="Times New Roman" w:eastAsia="宋体" w:cs="宋体"/>
                <w:b/>
                <w:bCs/>
                <w:spacing w:val="7"/>
                <w:sz w:val="24"/>
                <w:szCs w:val="23"/>
              </w:rPr>
              <w:t xml:space="preserve">▲</w:t>
            </w:r>
            <w:r>
              <w:rPr>
                <w:rFonts w:hint="eastAsia" w:ascii="宋体" w:hAnsi="宋体" w:eastAsia="宋体" w:cs="Times New Roman"/>
                <w:sz w:val="24"/>
                <w:szCs w:val="24"/>
                <w:highlight w:val="none"/>
              </w:rPr>
              <w:t xml:space="preserve">现场校准：</w:t>
            </w:r>
            <w:r/>
          </w:p>
        </w:tc>
        <w:tc>
          <w:tcPr>
            <w:tcW w:w="3971" w:type="pct"/>
            <w:vAlign w:val="center"/>
            <w:textDirection w:val="lrTb"/>
            <w:noWrap w:val="false"/>
          </w:tcPr>
          <w:p>
            <w:pPr>
              <w:spacing w:line="360" w:lineRule="auto"/>
              <w:tabs>
                <w:tab w:val="left" w:pos="4410" w:leader="none"/>
              </w:tabs>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仪器可利用培养的微藻做指纹图谱，可在野外测量后根据水体藻类组成，利用优势种</w:t>
            </w:r>
            <w:r>
              <w:rPr>
                <w:rFonts w:hint="eastAsia" w:ascii="宋体" w:hAnsi="宋体" w:eastAsia="宋体" w:cs="Times New Roman"/>
                <w:b/>
                <w:bCs/>
                <w:sz w:val="24"/>
                <w:szCs w:val="24"/>
                <w:highlight w:val="none"/>
              </w:rPr>
              <w:t xml:space="preserve">(一种或多种)的指纹图谱校对实验结果</w:t>
            </w:r>
            <w:r>
              <w:rPr>
                <w:rFonts w:hint="eastAsia" w:ascii="宋体" w:hAnsi="宋体" w:eastAsia="宋体" w:cs="Times New Roman"/>
                <w:b/>
                <w:bCs/>
                <w:sz w:val="24"/>
                <w:szCs w:val="24"/>
                <w:highlight w:val="none"/>
                <w:lang w:eastAsia="zh-CN"/>
              </w:rPr>
              <w:t xml:space="preserve">。</w:t>
            </w:r>
            <w:r/>
          </w:p>
        </w:tc>
      </w:tr>
      <w:tr>
        <w:trPr>
          <w:jc w:val="center"/>
          <w:trHeight w:val="363"/>
        </w:trPr>
        <w:tc>
          <w:tcPr>
            <w:tcW w:w="1028" w:type="pct"/>
            <w:vAlign w:val="center"/>
            <w:textDirection w:val="lrTb"/>
            <w:noWrap w:val="false"/>
          </w:tcPr>
          <w:p>
            <w:pPr>
              <w:spacing w:line="360" w:lineRule="auto"/>
              <w:tabs>
                <w:tab w:val="left" w:pos="441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仪器扩展</w:t>
            </w:r>
            <w:r/>
          </w:p>
        </w:tc>
        <w:tc>
          <w:tcPr>
            <w:tcW w:w="3971" w:type="pct"/>
            <w:vAlign w:val="center"/>
            <w:textDirection w:val="lrTb"/>
            <w:noWrap w:val="false"/>
          </w:tcPr>
          <w:p>
            <w:pPr>
              <w:spacing w:line="360" w:lineRule="auto"/>
              <w:tabs>
                <w:tab w:val="left" w:pos="441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仪器可通过增加少量配件实现仪表在野外场合下的测量应用。</w:t>
            </w:r>
            <w:r/>
          </w:p>
        </w:tc>
      </w:tr>
    </w:tbl>
    <w:p>
      <w:pPr>
        <w:numPr>
          <w:ilvl w:val="0"/>
          <w:numId w:val="0"/>
        </w:numPr>
        <w:keepLines w:val="0"/>
        <w:keepNext w:val="0"/>
        <w:pageBreakBefore w:val="0"/>
        <w:spacing w:line="560" w:lineRule="exact"/>
        <w:widowControl w:val="off"/>
        <w:rPr>
          <w:rFonts w:hint="eastAsia" w:ascii="Times New Roman" w:hAnsi="Times New Roman" w:eastAsia="宋体" w:cs="宋体"/>
          <w:b w:val="0"/>
          <w:bCs w:val="0"/>
          <w:sz w:val="24"/>
          <w:szCs w:val="24"/>
          <w:lang w:val="en-US" w:eastAsia="zh-CN" w:bidi="ar-SA"/>
        </w:rPr>
        <w:outlineLvl w:val="9"/>
      </w:pPr>
      <w:r>
        <w:rPr>
          <w:rFonts w:hint="eastAsia" w:ascii="Times New Roman" w:hAnsi="Times New Roman" w:eastAsia="宋体" w:cs="宋体"/>
          <w:b w:val="0"/>
          <w:bCs w:val="0"/>
          <w:sz w:val="24"/>
          <w:szCs w:val="24"/>
          <w:lang w:val="en-US" w:eastAsia="zh-CN" w:bidi="ar-SA"/>
        </w:rPr>
      </w:r>
      <w:r/>
    </w:p>
    <w:p>
      <w:pPr>
        <w:numPr>
          <w:ilvl w:val="0"/>
          <w:numId w:val="0"/>
        </w:numPr>
        <w:ind w:firstLine="482"/>
        <w:keepLines w:val="0"/>
        <w:keepNext w:val="0"/>
        <w:pageBreakBefore w:val="0"/>
        <w:spacing w:line="560" w:lineRule="exact"/>
        <w:widowControl w:val="off"/>
        <w:rPr>
          <w:rFonts w:hint="eastAsia" w:ascii="Times New Roman" w:hAnsi="Times New Roman" w:eastAsia="宋体" w:cs="宋体"/>
          <w:b/>
          <w:bCs/>
          <w:sz w:val="24"/>
          <w:szCs w:val="21"/>
          <w:lang w:val="en-US" w:eastAsia="zh-CN"/>
        </w:rPr>
        <w:outlineLvl w:val="1"/>
      </w:pPr>
      <w:r>
        <w:rPr>
          <w:rFonts w:hint="eastAsia" w:ascii="Times New Roman" w:hAnsi="Times New Roman" w:eastAsia="宋体" w:cs="宋体"/>
          <w:b/>
          <w:bCs/>
          <w:sz w:val="24"/>
          <w:szCs w:val="24"/>
          <w:lang w:val="en-US" w:eastAsia="zh-CN" w:bidi="ar-SA"/>
        </w:rPr>
        <w:t xml:space="preserve">（二）</w:t>
      </w:r>
      <w:r>
        <w:rPr>
          <w:rFonts w:hint="eastAsia" w:ascii="Times New Roman" w:hAnsi="Times New Roman" w:eastAsia="宋体" w:cs="宋体"/>
          <w:b/>
          <w:bCs/>
          <w:sz w:val="24"/>
          <w:szCs w:val="21"/>
          <w:lang w:val="en-US" w:eastAsia="zh-CN"/>
        </w:rPr>
        <w:t xml:space="preserve">水站智能化改造技术要求</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rPr>
        <w:t xml:space="preserve">具体内容包括</w:t>
      </w: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rPr>
        <w:t xml:space="preserve">增加自动质控、自动异常识别、故障自动处理及修复并建设电子围栏，以达到对水站监测系统的关键节点进行实时监控、远程控制、智能调控，降低人工运维频次，有效防止人为干扰或恶意破坏监测设施的目的，保障水站平稳有效运行，监测数据真实有效。</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lang w:val="en-US" w:eastAsia="zh-CN"/>
        </w:rPr>
        <w:t xml:space="preserve">1</w:t>
      </w: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rPr>
        <w:t xml:space="preserve">智慧监管数据中心</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rPr>
        <w:t xml:space="preserve">数据资源中心采集汇聚的多源数据，选定数据策略，开展高通量数据传输、数据接入、数据存储、数据监控、数据处理、数据挖掘、数据更新、数据共享服务和运维管理，构建统一数据资源管理、统一数据目录管理、统一数据共享交换能力，形成基础数据、主题数据和专题数据，实现对内进行数据治理整合，对外进行数据获取和共享交换，全面支撑对智慧监管工作。</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lang w:val="en-US" w:eastAsia="zh-CN"/>
        </w:rPr>
        <w:t xml:space="preserve">2</w:t>
      </w: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rPr>
        <w:t xml:space="preserve">物联网感知管理</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rPr>
        <w:t xml:space="preserve">物联网感知管理实现包括水站各类站点数据互联互通。具有设备管理、数据转发、远程控制、连接管理、数据保存、异常检测、数据回补等功能。系统需支持《HJ/T212-2017协议》、《国家地表水自动监测系统通信协议技术要求》,底层协议可采用TCP与UDP协议，以文本格式实时记录原始通信包，并实时记录每个连接的状态。</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lang w:val="en-US" w:eastAsia="zh-CN"/>
        </w:rPr>
        <w:t xml:space="preserve">3</w:t>
      </w: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rPr>
        <w:t xml:space="preserve">智慧站房监管</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rPr>
        <w:t xml:space="preserve">智慧化站房监管需全面汇聚水站各类传感数据，通过站房环境、系统集成、分析设备、智能消防、智能温控、智能视频、智能门禁、电子围栏等设备。构建数字化站房感知与调控，实时掌握水站运行状态。</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lang w:val="en-US" w:eastAsia="zh-CN"/>
        </w:rPr>
        <w:t xml:space="preserve">4</w:t>
      </w: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rPr>
        <w:t xml:space="preserve">无人化智慧运维管理</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rPr>
        <w:t xml:space="preserve">创新水质自动监测站运行维护模式，在全过程智能感知的基础上，运用物联网、大数据、云计算等手段，系统能对监测站进行远程控制和智能调控，降低人工干预。每日、每周、每月自动对仪器质量进行质控，对关键节点进行监管，自动识别异常、故障情况并通过内置故障处理模型进行自动修复。</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lang w:val="en-US" w:eastAsia="zh-CN"/>
        </w:rPr>
        <w:t xml:space="preserve">5</w:t>
      </w: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rPr>
        <w:t xml:space="preserve">电子围栏</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rPr>
        <w:t xml:space="preserve">具备站点远程监管可视化服务、站点视频监控智能化服务、站点分类电子围栏设置服务、站点AI告警事件定位服务、站点告警派单闭环管理服务和站点告警信息管理与查询、告警数据统计分析、自动生成工作报告等其他功能。</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lang w:val="en-US" w:eastAsia="zh-CN"/>
        </w:rPr>
        <w:t xml:space="preserve">6</w:t>
      </w: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rPr>
        <w:t xml:space="preserve">手机APP实时监控，远程掌握站房情况</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rPr>
        <w:t xml:space="preserve">通过手机APP，可对站房环境参数监测数据进行远程查看。当环境参数监测数据发生异常，APP界面主动提示日志信息，显示明显的告警状态。另外，现场发生异常时，触发监控摄像机实现自动拍照及录像，也可实时通过监控画面查看站房内环境详情，实时查看站点的异常情况。维护人员采用手机APP实时掌握现场情况，及时的进行针对性的人工维护，有效减少异常情况对于在线监测系统正常运行的影响，有效保障水质在线监测系统的数据有效率。</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lang w:val="en-US" w:eastAsia="zh-CN"/>
        </w:rPr>
        <w:t xml:space="preserve">7</w:t>
      </w: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rPr>
        <w:t xml:space="preserve">视频终端</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rPr>
        <w:t xml:space="preserve">自动站已装备站房内监控摄像机和站房进出口人脸识别摄像机等视频终端的，</w:t>
      </w:r>
      <w:r>
        <w:rPr>
          <w:rFonts w:hint="eastAsia" w:ascii="Times New Roman" w:hAnsi="Times New Roman" w:eastAsia="宋体" w:cs="宋体"/>
          <w:spacing w:val="7"/>
          <w:sz w:val="24"/>
          <w:szCs w:val="23"/>
        </w:rPr>
        <w:t xml:space="preserve">应统筹使用，避免重复建设。在覆盖范围上，视频监控原则上要能覆盖断面采水区域、采水口、采水管路、站房、上游2公里河道及两边岸线、下游500米河道及两边岸线等所有需要重点监管的区域（上游1公里、下游200米为核心区，上游2公里、下游500米为重点监控预警区），对于核心区应能够清楚辨认人体外貌特征、人脸特征、车辆牌照等细节；预警区域应识别车辆类型、人体轮廓。点位位于湖库的，视实际情况设置，除大型湖库外，原则上监控范围不小于以点位为中心的方圆1000m范围。电子围栏要具备7*24小时的无死角、全覆盖、可视化的监控。</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rPr>
        <w:t xml:space="preserve">在视频终端设备选型方面，高点监控设备主视频分辨率不低于2560×1440，可提供高清画面质量，光学变焦不低于40倍，可实现远距离的物体放大观察；低点监控设备要求具有400万及以上像素CMOS传感器，可获得清晰的图像细节，分辨率不小于2560×1440，光学变焦不低于40倍，满足细节监管的需求。</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lang w:val="en-US" w:eastAsia="zh-CN"/>
        </w:rPr>
        <w:t xml:space="preserve">8</w:t>
      </w:r>
      <w:r>
        <w:rPr>
          <w:rFonts w:hint="eastAsia" w:ascii="Times New Roman" w:hAnsi="Times New Roman" w:eastAsia="宋体" w:cs="宋体"/>
          <w:spacing w:val="7"/>
          <w:sz w:val="24"/>
          <w:szCs w:val="23"/>
          <w:lang w:eastAsia="zh-CN"/>
        </w:rPr>
        <w:t xml:space="preserve">）</w:t>
      </w:r>
      <w:r>
        <w:rPr>
          <w:rFonts w:hint="eastAsia" w:ascii="Times New Roman" w:hAnsi="Times New Roman" w:eastAsia="宋体" w:cs="宋体"/>
          <w:spacing w:val="7"/>
          <w:sz w:val="24"/>
          <w:szCs w:val="23"/>
        </w:rPr>
        <w:t xml:space="preserve">AI服务器</w:t>
      </w:r>
      <w:r/>
    </w:p>
    <w:p>
      <w:pPr>
        <w:numPr>
          <w:ilvl w:val="0"/>
          <w:numId w:val="0"/>
        </w:numPr>
        <w:ind w:firstLine="508"/>
        <w:jc w:val="both"/>
        <w:keepLines w:val="0"/>
        <w:keepNext w:val="0"/>
        <w:pageBreakBefore w:val="0"/>
        <w:spacing w:line="560" w:lineRule="exact"/>
        <w:widowControl w:val="off"/>
        <w:rPr>
          <w:rFonts w:hint="eastAsia" w:ascii="Times New Roman" w:hAnsi="Times New Roman" w:eastAsia="宋体" w:cs="宋体"/>
          <w:spacing w:val="7"/>
          <w:sz w:val="24"/>
          <w:szCs w:val="23"/>
        </w:rPr>
        <w:outlineLvl w:val="9"/>
      </w:pPr>
      <w:r>
        <w:rPr>
          <w:rFonts w:hint="eastAsia" w:ascii="Times New Roman" w:hAnsi="Times New Roman" w:eastAsia="宋体" w:cs="宋体"/>
          <w:spacing w:val="7"/>
          <w:sz w:val="24"/>
          <w:szCs w:val="23"/>
        </w:rPr>
        <w:t xml:space="preserve">依托智能警戒球机、全景AI摄像头、云计算、大数据和人工智能等新技术，使用计算机模仿人类视觉系统技术，建立一套符合环保特色的算法框架体系。通过AI视频分析技术让前端普通摄像头拥有类似人类眼睛所提取、处理、理解和分析图像以及图像序列的能力。可根据不同场景、不同事件自动识别，实现从被动发现向主动发现转变，达到“智能发现－智能预警－实时监控－抓拍取证”闭环管理，提升</w:t>
      </w:r>
      <w:r>
        <w:rPr>
          <w:rFonts w:hint="eastAsia" w:ascii="Times New Roman" w:hAnsi="Times New Roman" w:eastAsia="宋体" w:cs="宋体"/>
          <w:spacing w:val="7"/>
          <w:sz w:val="24"/>
          <w:szCs w:val="23"/>
        </w:rPr>
        <w:t xml:space="preserve">智能预警和防范人为干扰能力。电子围栏主要监控识别以下情形：（1）非运维人员违规进入站房及取水采样口周边的；（2）河流改道或断流；（3）设置人工喷泉、曝气等设施；（4）河道整治施工；（5）投放生物、化学药剂等；（6）破坏监测设备、采水设施、电力和通讯线路、其它辅助设施；（7）其他人为干扰监测行为。智能算法能自主学习可升级。梳理优化自动监测站管理流程，挖掘和深化防范人为干扰监测数据的应用场景，实现与系统无缝衔接，提高系统的实用性和操作性，有效剔除飞鸟、动物、树叶等干扰，不断提高智能预警的有效性、准确性和全面性。</w:t>
      </w:r>
      <w:r/>
    </w:p>
    <w:p>
      <w:pPr>
        <w:numPr>
          <w:ilvl w:val="0"/>
          <w:numId w:val="0"/>
        </w:numPr>
        <w:ind w:firstLine="510"/>
        <w:jc w:val="both"/>
        <w:keepLines w:val="0"/>
        <w:keepNext w:val="0"/>
        <w:pageBreakBefore w:val="0"/>
        <w:spacing w:line="560" w:lineRule="exact"/>
        <w:widowControl w:val="off"/>
        <w:rPr>
          <w:rFonts w:hint="default" w:ascii="Times New Roman" w:hAnsi="Times New Roman" w:eastAsia="宋体" w:cs="宋体"/>
          <w:b/>
          <w:bCs/>
          <w:spacing w:val="7"/>
          <w:sz w:val="24"/>
          <w:szCs w:val="23"/>
          <w:lang w:val="en-US" w:eastAsia="zh-CN"/>
        </w:rPr>
        <w:outlineLvl w:val="2"/>
      </w:pPr>
      <w:r>
        <w:rPr>
          <w:rFonts w:hint="eastAsia" w:ascii="Times New Roman" w:hAnsi="Times New Roman" w:eastAsia="宋体" w:cs="宋体"/>
          <w:b/>
          <w:bCs/>
          <w:spacing w:val="7"/>
          <w:sz w:val="24"/>
          <w:szCs w:val="23"/>
          <w:lang w:val="en-US" w:eastAsia="zh-CN"/>
        </w:rPr>
        <w:t xml:space="preserve">1、</w:t>
      </w:r>
      <w:r>
        <w:rPr>
          <w:rFonts w:hint="default" w:ascii="Times New Roman" w:hAnsi="Times New Roman" w:eastAsia="宋体" w:cs="宋体"/>
          <w:b/>
          <w:bCs/>
          <w:spacing w:val="7"/>
          <w:sz w:val="24"/>
          <w:szCs w:val="23"/>
          <w:lang w:val="en-US" w:eastAsia="zh-CN"/>
        </w:rPr>
        <w:t xml:space="preserve">集成</w:t>
      </w:r>
      <w:r>
        <w:rPr>
          <w:rFonts w:hint="eastAsia" w:ascii="Times New Roman" w:hAnsi="Times New Roman" w:eastAsia="宋体" w:cs="宋体"/>
          <w:b/>
          <w:bCs/>
          <w:spacing w:val="7"/>
          <w:sz w:val="24"/>
          <w:szCs w:val="23"/>
          <w:lang w:val="en-US" w:eastAsia="zh-CN"/>
        </w:rPr>
        <w:t xml:space="preserve">部分改造</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eastAsia" w:ascii="Times New Roman" w:hAnsi="Times New Roman" w:eastAsia="宋体" w:cs="宋体"/>
          <w:spacing w:val="7"/>
          <w:sz w:val="24"/>
          <w:szCs w:val="23"/>
          <w:lang w:val="en-US" w:eastAsia="zh-CN"/>
        </w:rPr>
        <w:t xml:space="preserve">1、</w:t>
      </w:r>
      <w:r>
        <w:rPr>
          <w:rFonts w:hint="default" w:ascii="Times New Roman" w:hAnsi="Times New Roman" w:eastAsia="宋体" w:cs="宋体"/>
          <w:spacing w:val="7"/>
          <w:sz w:val="24"/>
          <w:szCs w:val="23"/>
          <w:lang w:val="en-US" w:eastAsia="zh-CN"/>
        </w:rPr>
        <w:t xml:space="preserve">控制单元</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运行模式智能切换，基于水体纳污种类复杂多样、水质波动大，设计异常数据自识别、监测流程自切换的运行模式。</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（1）数据异常识别超过指定阀值自动启动平行测试、标样核查、加标回收率测试，进一步判断数据可靠性。</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（2）数据异常识别超过指定阀值切换至应急模式（加密监测周期、自动报警并发送短信通知相关人员），数据恢复正常自动接触，并恢复正常运行模式。</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（3）具备“异常数据判断+应急监测”智能运行模式，提高水站运行灵活性、智能化。</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（4）具备超标预警和应急自动加密监测功能。</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（5）具备站房运行环境信息的采集，可实现对站房的电源、暖通、安防、消防等功能模块进行监控，并实现远程管控。</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6）水质自动监测站集成控制系统具备多种智能模式运行设置功能，并可在本地或远程灵活设定；在数据平稳、数据波动异常、数据超标等各类情况下自动分析、精准识别，数据波动异常、持续升高或连续超标等场景自动进入应急加密监测模式，并自动对系统全流程进行记录。</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7）可远程访问数据平台，并可进行远程控制，包括：校时、重启、水样测试、质控测试（空白样品测试、标样测试、平行样测试、加标回收率测试）、参数设置、下次测试时间、测试周期（频率）、紧急监测、留样方式控制等，平台可对命令进行响应、记录反控日志信息。</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（8）具备定时主动上传数据功能，按通讯协议要求上报监测数据、质控数据、日志信息、设备状态量、报警信息、数据标识信息等。</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9）支持通过数据平台远程或现场操作，进行自动盲样考核：通过发送加密指令，控制单元自动配制任意指定浓度的盲样，仪器完成盲样测试后将结构上传。平台记录所有远程和现场操作日志，并可远程实时获取现场操作人员对控制单元的操作信息，便于溯源。</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eastAsia" w:ascii="Times New Roman" w:hAnsi="Times New Roman" w:eastAsia="宋体" w:cs="宋体"/>
          <w:spacing w:val="7"/>
          <w:sz w:val="24"/>
          <w:szCs w:val="23"/>
          <w:lang w:val="en-US" w:eastAsia="zh-CN"/>
        </w:rPr>
        <w:t xml:space="preserve">2、</w:t>
      </w:r>
      <w:r>
        <w:rPr>
          <w:rFonts w:hint="default" w:ascii="Times New Roman" w:hAnsi="Times New Roman" w:eastAsia="宋体" w:cs="宋体"/>
          <w:spacing w:val="7"/>
          <w:sz w:val="24"/>
          <w:szCs w:val="23"/>
          <w:lang w:val="en-US" w:eastAsia="zh-CN"/>
        </w:rPr>
        <w:t xml:space="preserve">质控单元</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具备智能化质控和配样模块，可制备任意浓度标准样品，可远程质控，具备以下功能：</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（1）质控模块可自动制备任意浓度的标准样品，远程发送指令，配置指定浓度盲样。</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（2）可自动制备多点线性核查校正液，通过平台远程对仪器测量曲线进行线性核查或校准。</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（3）样杯可通过电子锁进行锁控，防止水样被篡改，同时通过对样杯蓄水量的实时检测，可识别仪器是否从样杯进样。</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（4）可实现远程校准仪器，通过平台实现远程多点线性测试。</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（5）盲样考核时具有将分析仪器的检测数据远程报送给平台的功能，平台再从质控模块提取加密的盲样浓度值。</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（6）具备远程控制仪器自动无定量稀释倍数功能；具备远程控制仪器进行自动加标回收测试功能。</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（7）质控系统水样杯与标样杯互相独立，分别测试。双杯设计能有效避免交叉污染，保护待测水样，提高测量精度，保证数据的准确性与可靠性。</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（8）具有实时更新质控模块的当前状态信息，并向中心平台和基站传输当前状态信息数据。具有加标及配标前推空管口部分与空气接触的母液的功能，避免变质母液影响测量结果。</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（9）具有流程日志记录功能，直观反映仪器的工作进度及健康状态，提供了问题溯源的依据。</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eastAsia" w:ascii="Times New Roman" w:hAnsi="Times New Roman" w:eastAsia="宋体" w:cs="宋体"/>
          <w:spacing w:val="7"/>
          <w:sz w:val="24"/>
          <w:szCs w:val="23"/>
          <w:lang w:val="en-US" w:eastAsia="zh-CN"/>
        </w:rPr>
        <w:t xml:space="preserve">3、</w:t>
      </w:r>
      <w:r>
        <w:rPr>
          <w:rFonts w:hint="default" w:ascii="Times New Roman" w:hAnsi="Times New Roman" w:eastAsia="宋体" w:cs="宋体"/>
          <w:spacing w:val="7"/>
          <w:sz w:val="24"/>
          <w:szCs w:val="23"/>
          <w:lang w:val="en-US" w:eastAsia="zh-CN"/>
        </w:rPr>
        <w:t xml:space="preserve">留样单元</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采用智能采样瓶设计的留样单元，具有唯一识别码、全程温度记录、智能防伪，全时监控等功能。实现样品采集、样品运输、样品测试全过程信息化监管与溯源管理。</w:t>
      </w:r>
      <w:r/>
    </w:p>
    <w:p>
      <w:pPr>
        <w:numPr>
          <w:ilvl w:val="0"/>
          <w:numId w:val="0"/>
        </w:numPr>
        <w:ind w:firstLine="510"/>
        <w:jc w:val="both"/>
        <w:keepLines w:val="0"/>
        <w:keepNext w:val="0"/>
        <w:pageBreakBefore w:val="0"/>
        <w:spacing w:line="560" w:lineRule="exact"/>
        <w:widowControl w:val="off"/>
        <w:rPr>
          <w:rFonts w:hint="default" w:ascii="Times New Roman" w:hAnsi="Times New Roman" w:eastAsia="宋体" w:cs="宋体"/>
          <w:b/>
          <w:bCs/>
          <w:spacing w:val="7"/>
          <w:sz w:val="24"/>
          <w:szCs w:val="23"/>
          <w:lang w:val="en-US" w:eastAsia="zh-CN"/>
        </w:rPr>
        <w:outlineLvl w:val="2"/>
      </w:pPr>
      <w:r>
        <w:rPr>
          <w:rFonts w:hint="eastAsia" w:ascii="Times New Roman" w:hAnsi="Times New Roman" w:eastAsia="宋体" w:cs="宋体"/>
          <w:b/>
          <w:bCs/>
          <w:spacing w:val="7"/>
          <w:sz w:val="24"/>
          <w:szCs w:val="23"/>
          <w:lang w:val="en-US" w:eastAsia="zh-CN"/>
        </w:rPr>
        <w:t xml:space="preserve">2、视频部分改造</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eastAsia" w:ascii="Times New Roman" w:hAnsi="Times New Roman" w:eastAsia="宋体" w:cs="宋体"/>
          <w:spacing w:val="-13"/>
          <w:sz w:val="24"/>
          <w:szCs w:val="23"/>
          <w:lang w:val="en-US" w:eastAsia="zh-CN"/>
        </w:rPr>
        <w:t xml:space="preserve">1、</w:t>
      </w:r>
      <w:r>
        <w:rPr>
          <w:rFonts w:hint="default" w:ascii="Times New Roman" w:hAnsi="Times New Roman" w:eastAsia="宋体" w:cs="宋体"/>
          <w:spacing w:val="-13"/>
          <w:sz w:val="24"/>
          <w:szCs w:val="23"/>
          <w:lang w:val="en-US" w:eastAsia="zh-CN"/>
        </w:rPr>
        <w:t xml:space="preserve">视频监控单元</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站房视频监控单元应能够接入站房中控系统和远程指定平台。应配置1套视频监控系统，至少包含1台硬盘录像机和3台摄像机，分别置于监控站房仪表间，采水口及站房周边。可远程监视站房内设备（采水单元、自动监测分析仪器、供电系统、数据采集及传输系统等）的整体运行情况，观察取水工程（取样水泵、浮台等）工作状况，水站周边的水位、流量等水文信息的直观情况，同时也可观察站房周边环境。</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eastAsia" w:ascii="Times New Roman" w:hAnsi="Times New Roman" w:eastAsia="宋体" w:cs="宋体"/>
          <w:spacing w:val="-13"/>
          <w:sz w:val="24"/>
          <w:szCs w:val="23"/>
          <w:lang w:val="en-US" w:eastAsia="zh-CN"/>
        </w:rPr>
        <w:t xml:space="preserve">2、</w:t>
      </w:r>
      <w:r>
        <w:rPr>
          <w:rFonts w:hint="default" w:ascii="Times New Roman" w:hAnsi="Times New Roman" w:eastAsia="宋体" w:cs="宋体"/>
          <w:spacing w:val="-13"/>
          <w:sz w:val="24"/>
          <w:szCs w:val="23"/>
          <w:lang w:val="en-US" w:eastAsia="zh-CN"/>
        </w:rPr>
        <w:t xml:space="preserve">视频监控单元功能要求</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（1）实时监控功能：可实现24小时不间断监控，实时获取监控区域内清晰的监控图像。</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（2）云台操作功能：可实现全方位、多视角、无盲区、全天候式监控。</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3）录像存储功能：支持前端存储和中心存储两种模式，既可通过前端的视音信号接入视频处理单元存储数据，满足前端存储的需要，供事后调查取证；也可通过部署存储服务器和存储设备，满足大容量多通道并发的中心存储需要。</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（4）语音监听功能。</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（5）远程维护功能：可通过平台软件对前端设备进行校时、重启、修正参数、软件升级、远程维护等操作。</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eastAsia" w:ascii="Times New Roman" w:hAnsi="Times New Roman" w:eastAsia="宋体" w:cs="宋体"/>
          <w:spacing w:val="-13"/>
          <w:sz w:val="24"/>
          <w:szCs w:val="23"/>
          <w:lang w:val="en-US" w:eastAsia="zh-CN"/>
        </w:rPr>
        <w:t xml:space="preserve">3、</w:t>
      </w:r>
      <w:r>
        <w:rPr>
          <w:rFonts w:hint="default" w:ascii="Times New Roman" w:hAnsi="Times New Roman" w:eastAsia="宋体" w:cs="宋体"/>
          <w:spacing w:val="-13"/>
          <w:sz w:val="24"/>
          <w:szCs w:val="23"/>
          <w:lang w:val="en-US" w:eastAsia="zh-CN"/>
        </w:rPr>
        <w:t xml:space="preserve">视频监控设备布设要求</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（1）站房外取水口（至少1台高清球机）：安装在靠近取水口岸边，并考虑50年一遇的防洪要求，用于监控取水口及站房周边情况。监控设备可水平360度旋转。</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（2）站房进门处（至少1台高清枪机）：安装在站房进门处，用以监控站房的出入情况。监控设备应配置枪机，固定监控视角。</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（3）站房仪表间（至少1台高清球机）：安装在仪器设备集成机柜正面墙壁上，用于监控仪表间内部设备运行情况。监控设备可水平360度旋转。</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eastAsia" w:ascii="Times New Roman" w:hAnsi="Times New Roman" w:eastAsia="宋体" w:cs="宋体"/>
          <w:spacing w:val="-13"/>
          <w:sz w:val="24"/>
          <w:szCs w:val="23"/>
          <w:lang w:val="en-US" w:eastAsia="zh-CN"/>
        </w:rPr>
        <w:t xml:space="preserve">4、</w:t>
      </w:r>
      <w:r>
        <w:rPr>
          <w:rFonts w:hint="default" w:ascii="Times New Roman" w:hAnsi="Times New Roman" w:eastAsia="宋体" w:cs="宋体"/>
          <w:spacing w:val="-13"/>
          <w:sz w:val="24"/>
          <w:szCs w:val="23"/>
          <w:lang w:val="en-US" w:eastAsia="zh-CN"/>
        </w:rPr>
        <w:t xml:space="preserve">视频监控设备技术要求</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（1）网络红外球型摄像机：球机带云台，可水平360度旋转；不低于300万像素；带红外，支持夜间查看。</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（2）云台筒式摄像机：云台摄像机可水平180度旋转，竖直-40～30度旋转，具备云台操作功能，对视角、方位、焦距的调整，实现全方位、多视角、全天候监控；</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3）高清网络录像机：应选用可接驳符合开放型网络视频接口、RTSP、GB28181标准的网络摄像机；支持不低于300万像素高清网络视频的预览、存储和回放；支持IPC集中管理，包括IPC参数配置、信息的导入/导出、语音对讲和升级等；支持智能搜索、回放及备份，至少满足30天的存储。</w:t>
      </w:r>
      <w:r/>
    </w:p>
    <w:p>
      <w:pPr>
        <w:numPr>
          <w:ilvl w:val="0"/>
          <w:numId w:val="0"/>
        </w:numPr>
        <w:ind w:firstLine="428"/>
        <w:keepLines w:val="0"/>
        <w:keepNext w:val="0"/>
        <w:pageBreakBefore w:val="0"/>
        <w:spacing w:line="560" w:lineRule="exact"/>
        <w:widowControl w:val="off"/>
        <w:rPr>
          <w:rFonts w:hint="default" w:ascii="Times New Roman" w:hAnsi="Times New Roman" w:eastAsia="宋体" w:cs="宋体"/>
          <w:spacing w:val="-13"/>
          <w:sz w:val="24"/>
          <w:szCs w:val="23"/>
          <w:lang w:val="en-US" w:eastAsia="zh-CN"/>
        </w:rPr>
        <w:outlineLvl w:val="9"/>
      </w:pPr>
      <w:r>
        <w:rPr>
          <w:rFonts w:hint="default" w:ascii="Times New Roman" w:hAnsi="Times New Roman" w:eastAsia="宋体" w:cs="宋体"/>
          <w:spacing w:val="-13"/>
          <w:sz w:val="24"/>
          <w:szCs w:val="23"/>
          <w:lang w:val="en-US" w:eastAsia="zh-CN"/>
        </w:rPr>
        <w:t xml:space="preserve">（4）视频监控系统具备断电自启功能。</w:t>
      </w:r>
      <w:r/>
    </w:p>
    <w:p>
      <w:pPr>
        <w:numPr>
          <w:ilvl w:val="0"/>
          <w:numId w:val="0"/>
        </w:numPr>
        <w:ind w:firstLine="510"/>
        <w:jc w:val="both"/>
        <w:keepLines w:val="0"/>
        <w:keepNext w:val="0"/>
        <w:pageBreakBefore w:val="0"/>
        <w:spacing w:line="560" w:lineRule="exact"/>
        <w:widowControl w:val="off"/>
        <w:rPr>
          <w:rFonts w:hint="eastAsia" w:ascii="Times New Roman" w:hAnsi="Times New Roman" w:eastAsia="宋体" w:cs="宋体"/>
          <w:b/>
          <w:bCs/>
          <w:spacing w:val="7"/>
          <w:sz w:val="24"/>
          <w:szCs w:val="23"/>
          <w:lang w:val="en-US" w:eastAsia="zh-CN"/>
        </w:rPr>
        <w:outlineLvl w:val="2"/>
      </w:pPr>
      <w:r>
        <w:rPr>
          <w:rFonts w:hint="eastAsia" w:ascii="Times New Roman" w:hAnsi="Times New Roman" w:eastAsia="宋体" w:cs="宋体"/>
          <w:b/>
          <w:bCs/>
          <w:spacing w:val="7"/>
          <w:sz w:val="24"/>
          <w:szCs w:val="23"/>
          <w:lang w:val="en-US" w:eastAsia="zh-CN"/>
        </w:rPr>
        <w:t xml:space="preserve">3、辅助部分改造</w:t>
      </w:r>
      <w:r/>
    </w:p>
    <w:p>
      <w:pPr>
        <w:numPr>
          <w:ilvl w:val="0"/>
          <w:numId w:val="0"/>
        </w:numPr>
        <w:ind w:firstLine="508"/>
        <w:keepLines w:val="0"/>
        <w:keepNext w:val="0"/>
        <w:pageBreakBefore w:val="0"/>
        <w:spacing w:line="560" w:lineRule="exact"/>
        <w:widowControl w:val="off"/>
        <w:rPr>
          <w:rFonts w:hint="default" w:ascii="Times New Roman" w:hAnsi="Times New Roman" w:eastAsia="宋体" w:cs="宋体"/>
          <w:b w:val="0"/>
          <w:bCs w:val="0"/>
          <w:spacing w:val="7"/>
          <w:sz w:val="24"/>
          <w:szCs w:val="23"/>
          <w:lang w:val="en-US" w:eastAsia="zh-CN"/>
        </w:rPr>
        <w:outlineLvl w:val="9"/>
      </w:pPr>
      <w:r>
        <w:rPr>
          <w:rFonts w:hint="default" w:ascii="Times New Roman" w:hAnsi="Times New Roman" w:eastAsia="宋体" w:cs="宋体"/>
          <w:b w:val="0"/>
          <w:bCs w:val="0"/>
          <w:spacing w:val="7"/>
          <w:sz w:val="24"/>
          <w:szCs w:val="23"/>
          <w:lang w:val="en-US" w:eastAsia="zh-CN"/>
        </w:rPr>
        <w:t xml:space="preserve">（1）UPS：总功率≥3KVA，断电后至少能保证仪器完成一个测量周期和数据上传，且待机不少于1h、三相稳压电源功率≥15KW；</w:t>
      </w:r>
      <w:r/>
    </w:p>
    <w:p>
      <w:pPr>
        <w:numPr>
          <w:ilvl w:val="0"/>
          <w:numId w:val="0"/>
        </w:numPr>
        <w:ind w:firstLine="508"/>
        <w:keepLines w:val="0"/>
        <w:keepNext w:val="0"/>
        <w:pageBreakBefore w:val="0"/>
        <w:spacing w:line="560" w:lineRule="exact"/>
        <w:widowControl w:val="off"/>
        <w:rPr>
          <w:rFonts w:hint="default" w:ascii="Times New Roman" w:hAnsi="Times New Roman" w:eastAsia="宋体" w:cs="宋体"/>
          <w:b w:val="0"/>
          <w:bCs w:val="0"/>
          <w:spacing w:val="7"/>
          <w:sz w:val="24"/>
          <w:szCs w:val="23"/>
          <w:lang w:val="en-US" w:eastAsia="zh-CN"/>
        </w:rPr>
        <w:outlineLvl w:val="9"/>
      </w:pPr>
      <w:r>
        <w:rPr>
          <w:rFonts w:hint="default" w:ascii="Times New Roman" w:hAnsi="Times New Roman" w:eastAsia="宋体" w:cs="宋体"/>
          <w:b w:val="0"/>
          <w:bCs w:val="0"/>
          <w:spacing w:val="7"/>
          <w:sz w:val="24"/>
          <w:szCs w:val="23"/>
          <w:lang w:val="en-US" w:eastAsia="zh-CN"/>
        </w:rPr>
        <w:t xml:space="preserve">（2）具备系统集成机柜、维护专用成套工具、试剂冰箱、空压机、臭氧发生器等；</w:t>
      </w:r>
      <w:r/>
    </w:p>
    <w:p>
      <w:pPr>
        <w:numPr>
          <w:ilvl w:val="0"/>
          <w:numId w:val="0"/>
        </w:numPr>
        <w:ind w:firstLine="508"/>
        <w:keepLines w:val="0"/>
        <w:keepNext w:val="0"/>
        <w:pageBreakBefore w:val="0"/>
        <w:spacing w:line="560" w:lineRule="exact"/>
        <w:widowControl w:val="off"/>
        <w:rPr>
          <w:rFonts w:hint="default" w:ascii="Times New Roman" w:hAnsi="Times New Roman" w:eastAsia="宋体" w:cs="宋体"/>
          <w:b w:val="0"/>
          <w:bCs w:val="0"/>
          <w:spacing w:val="7"/>
          <w:sz w:val="24"/>
          <w:szCs w:val="23"/>
          <w:lang w:val="en-US" w:eastAsia="zh-CN"/>
        </w:rPr>
        <w:outlineLvl w:val="9"/>
      </w:pPr>
      <w:r>
        <w:rPr>
          <w:rFonts w:hint="default" w:ascii="Times New Roman" w:hAnsi="Times New Roman" w:eastAsia="宋体" w:cs="宋体"/>
          <w:b w:val="0"/>
          <w:bCs w:val="0"/>
          <w:spacing w:val="7"/>
          <w:sz w:val="24"/>
          <w:szCs w:val="23"/>
          <w:lang w:val="en-US" w:eastAsia="zh-CN"/>
        </w:rPr>
        <w:t xml:space="preserve">（3）配备废液收集单元，满足两周以上废液量的收集。</w:t>
      </w:r>
      <w:r/>
    </w:p>
    <w:p>
      <w:pPr>
        <w:numPr>
          <w:ilvl w:val="0"/>
          <w:numId w:val="0"/>
        </w:numPr>
        <w:ind w:firstLine="510"/>
        <w:jc w:val="both"/>
        <w:keepLines w:val="0"/>
        <w:keepNext w:val="0"/>
        <w:pageBreakBefore w:val="0"/>
        <w:spacing w:line="560" w:lineRule="exact"/>
        <w:widowControl w:val="off"/>
        <w:rPr>
          <w:rFonts w:hint="default" w:ascii="Times New Roman" w:hAnsi="Times New Roman" w:eastAsia="宋体" w:cs="宋体"/>
          <w:b/>
          <w:bCs/>
          <w:spacing w:val="7"/>
          <w:sz w:val="24"/>
          <w:szCs w:val="23"/>
          <w:lang w:val="en-US" w:eastAsia="zh-CN"/>
        </w:rPr>
        <w:outlineLvl w:val="2"/>
      </w:pPr>
      <w:r>
        <w:rPr>
          <w:rFonts w:hint="eastAsia" w:ascii="Times New Roman" w:hAnsi="Times New Roman" w:eastAsia="宋体" w:cs="宋体"/>
          <w:b/>
          <w:bCs/>
          <w:spacing w:val="7"/>
          <w:sz w:val="24"/>
          <w:szCs w:val="23"/>
          <w:lang w:val="en-US" w:eastAsia="zh-CN"/>
        </w:rPr>
        <w:t xml:space="preserve">4、</w:t>
      </w:r>
      <w:r>
        <w:rPr>
          <w:rFonts w:hint="default" w:ascii="Times New Roman" w:hAnsi="Times New Roman" w:eastAsia="宋体" w:cs="宋体"/>
          <w:b/>
          <w:bCs/>
          <w:spacing w:val="7"/>
          <w:sz w:val="24"/>
          <w:szCs w:val="23"/>
          <w:lang w:val="en-US" w:eastAsia="zh-CN"/>
        </w:rPr>
        <w:t xml:space="preserve">智慧站房</w:t>
      </w:r>
      <w:r>
        <w:rPr>
          <w:rFonts w:hint="eastAsia" w:ascii="Times New Roman" w:hAnsi="Times New Roman" w:eastAsia="宋体" w:cs="宋体"/>
          <w:b/>
          <w:bCs/>
          <w:spacing w:val="7"/>
          <w:sz w:val="24"/>
          <w:szCs w:val="23"/>
          <w:lang w:val="en-US" w:eastAsia="zh-CN"/>
        </w:rPr>
        <w:t xml:space="preserve">改造</w:t>
      </w:r>
      <w:r/>
    </w:p>
    <w:p>
      <w:pPr>
        <w:numPr>
          <w:ilvl w:val="0"/>
          <w:numId w:val="0"/>
        </w:numPr>
        <w:ind w:firstLine="508"/>
        <w:jc w:val="both"/>
        <w:keepLines w:val="0"/>
        <w:keepNext w:val="0"/>
        <w:pageBreakBefore w:val="0"/>
        <w:spacing w:line="560" w:lineRule="exact"/>
        <w:widowControl w:val="off"/>
        <w:rPr>
          <w:rFonts w:hint="default" w:ascii="Times New Roman" w:hAnsi="Times New Roman" w:eastAsia="宋体" w:cs="宋体"/>
          <w:spacing w:val="7"/>
          <w:sz w:val="24"/>
          <w:szCs w:val="23"/>
          <w:lang w:val="en-US" w:eastAsia="zh-CN"/>
        </w:rPr>
        <w:outlineLvl w:val="9"/>
      </w:pPr>
      <w:r>
        <w:rPr>
          <w:rFonts w:hint="default" w:ascii="Times New Roman" w:hAnsi="Times New Roman" w:eastAsia="宋体" w:cs="宋体"/>
          <w:spacing w:val="7"/>
          <w:sz w:val="24"/>
          <w:szCs w:val="23"/>
          <w:lang w:val="en-US" w:eastAsia="zh-CN"/>
        </w:rPr>
        <w:t xml:space="preserve">智慧站房系统集成站房动力监控、环境监控、视频监控等设备状态信息，实现对站房环境的智能监控和管理。系统通过对室内温度湿度、视频、室内空气质量、气压（设备用气瓶）、动力环境（站房电流电压、UPS状态等）、水浸、烟雾等进行监控，并对空调、新风进行远程控制，实现对仪器运行环境的自动调节，提高监测数据的稳定性和准确性。</w:t>
      </w:r>
      <w:r/>
    </w:p>
    <w:p>
      <w:pPr>
        <w:numPr>
          <w:ilvl w:val="0"/>
          <w:numId w:val="0"/>
        </w:numPr>
        <w:ind w:firstLine="510"/>
        <w:jc w:val="both"/>
        <w:keepLines w:val="0"/>
        <w:keepNext w:val="0"/>
        <w:pageBreakBefore w:val="0"/>
        <w:spacing w:line="560" w:lineRule="exact"/>
        <w:widowControl w:val="off"/>
        <w:rPr>
          <w:rFonts w:hint="default" w:ascii="Times New Roman" w:hAnsi="Times New Roman" w:eastAsia="宋体" w:cs="宋体"/>
          <w:b/>
          <w:bCs/>
          <w:spacing w:val="7"/>
          <w:sz w:val="24"/>
          <w:szCs w:val="23"/>
          <w:lang w:val="en-US" w:eastAsia="zh-CN"/>
        </w:rPr>
        <w:outlineLvl w:val="2"/>
      </w:pPr>
      <w:r>
        <w:rPr>
          <w:rFonts w:hint="eastAsia" w:ascii="Times New Roman" w:hAnsi="Times New Roman" w:eastAsia="宋体" w:cs="宋体"/>
          <w:b/>
          <w:bCs/>
          <w:spacing w:val="7"/>
          <w:sz w:val="24"/>
          <w:szCs w:val="23"/>
          <w:lang w:val="en-US" w:eastAsia="zh-CN"/>
        </w:rPr>
        <w:t xml:space="preserve">5、加密传输</w:t>
      </w:r>
      <w:r/>
    </w:p>
    <w:p>
      <w:pPr>
        <w:ind w:left="512"/>
        <w:spacing w:before="78" w:line="315" w:lineRule="exact"/>
        <w:rPr>
          <w:rFonts w:hint="default" w:ascii="Times New Roman" w:hAnsi="Times New Roman" w:eastAsia="宋体" w:cs="Times New Roman"/>
          <w:sz w:val="24"/>
          <w:szCs w:val="23"/>
        </w:rPr>
      </w:pPr>
      <w:r>
        <w:rPr>
          <w:rFonts w:hint="default" w:ascii="Times New Roman" w:hAnsi="Times New Roman" w:eastAsia="宋体" w:cs="Times New Roman"/>
          <w:position w:val="1"/>
          <w:sz w:val="24"/>
          <w:szCs w:val="23"/>
        </w:rPr>
        <w:t xml:space="preserve">VPN</w:t>
      </w:r>
      <w:r/>
    </w:p>
    <w:p>
      <w:pPr>
        <w:spacing w:line="75"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r>
      <w:r/>
    </w:p>
    <w:tbl>
      <w:tblPr>
        <w:tblStyle w:val="752"/>
        <w:tblW w:w="8079" w:type="dxa"/>
        <w:tblInd w:w="12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850"/>
        <w:gridCol w:w="2769"/>
        <w:gridCol w:w="4460"/>
      </w:tblGrid>
      <w:tr>
        <w:trPr>
          <w:trHeight w:val="321"/>
        </w:trPr>
        <w:tc>
          <w:tcPr>
            <w:tcBorders>
              <w:top w:val="single" w:color="auto" w:sz="2" w:space="0"/>
              <w:left w:val="single" w:color="auto" w:sz="2" w:space="0"/>
              <w:bottom w:val="single" w:color="auto" w:sz="2" w:space="0"/>
              <w:right w:val="single" w:color="auto" w:sz="2" w:space="0"/>
            </w:tcBorders>
            <w:tcW w:w="850" w:type="dxa"/>
            <w:textDirection w:val="lrTb"/>
            <w:noWrap w:val="false"/>
          </w:tcPr>
          <w:p>
            <w:pPr>
              <w:ind w:left="190"/>
              <w:jc w:val="both"/>
              <w:spacing w:before="40" w:line="217"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b/>
                <w:bCs/>
                <w:spacing w:val="3"/>
                <w:sz w:val="24"/>
                <w:szCs w:val="23"/>
                <w:lang w:val="en-US" w:eastAsia="en-US" w:bidi="ar-SA"/>
              </w:rPr>
              <w:t xml:space="preserve">序号</w:t>
            </w:r>
            <w:r/>
          </w:p>
        </w:tc>
        <w:tc>
          <w:tcPr>
            <w:tcBorders>
              <w:top w:val="single" w:color="auto" w:sz="2" w:space="0"/>
              <w:left w:val="single" w:color="auto" w:sz="2" w:space="0"/>
              <w:bottom w:val="single" w:color="auto" w:sz="2" w:space="0"/>
              <w:right w:val="single" w:color="auto" w:sz="2" w:space="0"/>
            </w:tcBorders>
            <w:tcW w:w="2769" w:type="dxa"/>
            <w:textDirection w:val="lrTb"/>
            <w:noWrap w:val="false"/>
          </w:tcPr>
          <w:p>
            <w:pPr>
              <w:ind w:left="900"/>
              <w:jc w:val="both"/>
              <w:spacing w:before="40" w:line="217"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b/>
                <w:bCs/>
                <w:sz w:val="24"/>
                <w:szCs w:val="23"/>
                <w:lang w:val="en-US" w:eastAsia="en-US" w:bidi="ar-SA"/>
              </w:rPr>
              <w:t xml:space="preserve">项目</w:t>
            </w:r>
            <w:r/>
          </w:p>
        </w:tc>
        <w:tc>
          <w:tcPr>
            <w:tcBorders>
              <w:top w:val="single" w:color="auto" w:sz="2" w:space="0"/>
              <w:left w:val="single" w:color="auto" w:sz="2" w:space="0"/>
              <w:bottom w:val="single" w:color="auto" w:sz="2" w:space="0"/>
              <w:right w:val="single" w:color="auto" w:sz="2" w:space="0"/>
            </w:tcBorders>
            <w:tcW w:w="4460" w:type="dxa"/>
            <w:textDirection w:val="lrTb"/>
            <w:noWrap w:val="false"/>
          </w:tcPr>
          <w:p>
            <w:pPr>
              <w:ind w:left="2005"/>
              <w:jc w:val="both"/>
              <w:spacing w:before="40" w:line="217"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b/>
                <w:bCs/>
                <w:spacing w:val="5"/>
                <w:sz w:val="24"/>
                <w:szCs w:val="23"/>
                <w:lang w:val="en-US" w:eastAsia="en-US" w:bidi="ar-SA"/>
              </w:rPr>
              <w:t xml:space="preserve">性能指标</w:t>
            </w:r>
            <w:r/>
          </w:p>
        </w:tc>
      </w:tr>
      <w:tr>
        <w:trPr>
          <w:trHeight w:val="316"/>
        </w:trPr>
        <w:tc>
          <w:tcPr>
            <w:tcBorders>
              <w:top w:val="single" w:color="auto" w:sz="2" w:space="0"/>
              <w:left w:val="single" w:color="auto" w:sz="2" w:space="0"/>
              <w:bottom w:val="single" w:color="auto" w:sz="2" w:space="0"/>
              <w:right w:val="single" w:color="auto" w:sz="2" w:space="0"/>
            </w:tcBorders>
            <w:tcW w:w="850" w:type="dxa"/>
            <w:textDirection w:val="lrTb"/>
            <w:noWrap w:val="false"/>
          </w:tcPr>
          <w:p>
            <w:pPr>
              <w:ind w:left="390"/>
              <w:spacing w:before="1" w:line="304" w:lineRule="exact"/>
              <w:rPr>
                <w:rFonts w:hint="default" w:ascii="Times New Roman" w:hAnsi="Times New Roman" w:eastAsia="宋体" w:cs="Times New Roman"/>
                <w:sz w:val="24"/>
                <w:szCs w:val="23"/>
              </w:rPr>
            </w:pPr>
            <w:r>
              <w:rPr>
                <w:rFonts w:hint="default" w:ascii="Times New Roman" w:hAnsi="Times New Roman" w:eastAsia="宋体" w:cs="Times New Roman"/>
                <w:position w:val="1"/>
                <w:sz w:val="24"/>
                <w:szCs w:val="23"/>
              </w:rPr>
              <w:t xml:space="preserve">1</w:t>
            </w:r>
            <w:r/>
          </w:p>
        </w:tc>
        <w:tc>
          <w:tcPr>
            <w:tcBorders>
              <w:top w:val="single" w:color="auto" w:sz="2" w:space="0"/>
              <w:left w:val="single" w:color="auto" w:sz="2" w:space="0"/>
              <w:bottom w:val="single" w:color="auto" w:sz="2" w:space="0"/>
              <w:right w:val="single" w:color="auto" w:sz="2" w:space="0"/>
            </w:tcBorders>
            <w:tcW w:w="2769" w:type="dxa"/>
            <w:textDirection w:val="lrTb"/>
            <w:noWrap w:val="false"/>
          </w:tcPr>
          <w:p>
            <w:pPr>
              <w:ind w:left="678"/>
              <w:jc w:val="both"/>
              <w:spacing w:before="36" w:line="216"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spacing w:val="2"/>
                <w:sz w:val="24"/>
                <w:szCs w:val="23"/>
                <w:lang w:val="en-US" w:eastAsia="en-US" w:bidi="ar-SA"/>
              </w:rPr>
              <w:t xml:space="preserve">网络接口</w:t>
            </w:r>
            <w:r/>
          </w:p>
        </w:tc>
        <w:tc>
          <w:tcPr>
            <w:tcBorders>
              <w:top w:val="single" w:color="auto" w:sz="2" w:space="0"/>
              <w:left w:val="single" w:color="auto" w:sz="2" w:space="0"/>
              <w:bottom w:val="single" w:color="auto" w:sz="2" w:space="0"/>
              <w:right w:val="single" w:color="auto" w:sz="2" w:space="0"/>
            </w:tcBorders>
            <w:tcW w:w="4460" w:type="dxa"/>
            <w:textDirection w:val="lrTb"/>
            <w:noWrap w:val="false"/>
          </w:tcPr>
          <w:p>
            <w:pPr>
              <w:ind w:left="1699"/>
              <w:jc w:val="both"/>
              <w:spacing w:before="1" w:line="304" w:lineRule="exact"/>
              <w:widowControl w:val="off"/>
              <w:rPr>
                <w:rFonts w:ascii="Times New Roman" w:hAnsi="Times New Roman" w:eastAsia="宋体" w:cs="宋体"/>
                <w:sz w:val="24"/>
                <w:szCs w:val="23"/>
                <w:lang w:val="en-US" w:eastAsia="en-US" w:bidi="ar-SA"/>
              </w:rPr>
            </w:pPr>
            <w:r>
              <w:rPr>
                <w:rFonts w:ascii="Times New Roman" w:hAnsi="Times New Roman" w:eastAsia="宋体" w:cs="宋体"/>
                <w:spacing w:val="4"/>
                <w:position w:val="1"/>
                <w:sz w:val="24"/>
                <w:szCs w:val="23"/>
                <w:lang w:val="en-US" w:eastAsia="en-US" w:bidi="ar-SA"/>
              </w:rPr>
              <w:t xml:space="preserve">≥</w:t>
            </w:r>
            <w:r>
              <w:rPr>
                <w:rFonts w:ascii="Times New Roman" w:hAnsi="Times New Roman" w:eastAsia="宋体" w:cs="Times New Roman"/>
                <w:spacing w:val="4"/>
                <w:position w:val="1"/>
                <w:sz w:val="24"/>
                <w:szCs w:val="23"/>
                <w:lang w:val="en-US" w:eastAsia="en-US" w:bidi="ar-SA"/>
              </w:rPr>
              <w:t xml:space="preserve">4</w:t>
            </w:r>
            <w:r>
              <w:rPr>
                <w:rFonts w:ascii="Times New Roman" w:hAnsi="Times New Roman" w:eastAsia="宋体" w:cs="宋体"/>
                <w:spacing w:val="4"/>
                <w:position w:val="1"/>
                <w:sz w:val="24"/>
                <w:szCs w:val="23"/>
                <w:lang w:val="en-US" w:eastAsia="en-US" w:bidi="ar-SA"/>
              </w:rPr>
              <w:t xml:space="preserve">个千兆电口</w:t>
            </w:r>
            <w:r/>
          </w:p>
        </w:tc>
      </w:tr>
      <w:tr>
        <w:trPr>
          <w:trHeight w:val="316"/>
        </w:trPr>
        <w:tc>
          <w:tcPr>
            <w:tcBorders>
              <w:top w:val="single" w:color="auto" w:sz="2" w:space="0"/>
              <w:left w:val="single" w:color="auto" w:sz="2" w:space="0"/>
              <w:bottom w:val="single" w:color="auto" w:sz="2" w:space="0"/>
              <w:right w:val="single" w:color="auto" w:sz="2" w:space="0"/>
            </w:tcBorders>
            <w:tcW w:w="850" w:type="dxa"/>
            <w:textDirection w:val="lrTb"/>
            <w:noWrap w:val="false"/>
          </w:tcPr>
          <w:p>
            <w:pPr>
              <w:ind w:left="367"/>
              <w:spacing w:before="1" w:line="304" w:lineRule="exact"/>
              <w:rPr>
                <w:rFonts w:hint="default" w:ascii="Times New Roman" w:hAnsi="Times New Roman" w:eastAsia="宋体" w:cs="Times New Roman"/>
                <w:sz w:val="24"/>
                <w:szCs w:val="23"/>
              </w:rPr>
            </w:pPr>
            <w:r>
              <w:rPr>
                <w:rFonts w:hint="default" w:ascii="Times New Roman" w:hAnsi="Times New Roman" w:eastAsia="宋体" w:cs="Times New Roman"/>
                <w:position w:val="1"/>
                <w:sz w:val="24"/>
                <w:szCs w:val="23"/>
              </w:rPr>
              <w:t xml:space="preserve">2</w:t>
            </w:r>
            <w:r/>
          </w:p>
        </w:tc>
        <w:tc>
          <w:tcPr>
            <w:tcBorders>
              <w:top w:val="single" w:color="auto" w:sz="2" w:space="0"/>
              <w:left w:val="single" w:color="auto" w:sz="2" w:space="0"/>
              <w:bottom w:val="single" w:color="auto" w:sz="2" w:space="0"/>
              <w:right w:val="single" w:color="auto" w:sz="2" w:space="0"/>
            </w:tcBorders>
            <w:tcW w:w="2769" w:type="dxa"/>
            <w:textDirection w:val="lrTb"/>
            <w:noWrap w:val="false"/>
          </w:tcPr>
          <w:p>
            <w:pPr>
              <w:ind w:left="434"/>
              <w:jc w:val="both"/>
              <w:spacing w:before="36" w:line="216"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spacing w:val="5"/>
                <w:sz w:val="24"/>
                <w:szCs w:val="23"/>
                <w:lang w:val="en-US" w:eastAsia="en-US" w:bidi="ar-SA"/>
              </w:rPr>
              <w:t xml:space="preserve">防火墙吞吐量</w:t>
            </w:r>
            <w:r/>
          </w:p>
        </w:tc>
        <w:tc>
          <w:tcPr>
            <w:tcBorders>
              <w:top w:val="single" w:color="auto" w:sz="2" w:space="0"/>
              <w:left w:val="single" w:color="auto" w:sz="2" w:space="0"/>
              <w:bottom w:val="single" w:color="auto" w:sz="2" w:space="0"/>
              <w:right w:val="single" w:color="auto" w:sz="2" w:space="0"/>
            </w:tcBorders>
            <w:tcW w:w="4460" w:type="dxa"/>
            <w:textDirection w:val="lrTb"/>
            <w:noWrap w:val="false"/>
          </w:tcPr>
          <w:p>
            <w:pPr>
              <w:ind w:left="1937"/>
              <w:jc w:val="both"/>
              <w:spacing w:before="36" w:line="216" w:lineRule="auto"/>
              <w:widowControl w:val="off"/>
              <w:rPr>
                <w:rFonts w:ascii="Times New Roman" w:hAnsi="Times New Roman" w:eastAsia="宋体" w:cs="Times New Roman"/>
                <w:sz w:val="24"/>
                <w:szCs w:val="23"/>
                <w:lang w:val="en-US" w:eastAsia="en-US" w:bidi="ar-SA"/>
              </w:rPr>
            </w:pPr>
            <w:r>
              <w:rPr>
                <w:rFonts w:ascii="Times New Roman" w:hAnsi="Times New Roman" w:eastAsia="宋体" w:cs="宋体"/>
                <w:spacing w:val="3"/>
                <w:sz w:val="24"/>
                <w:szCs w:val="23"/>
                <w:lang w:val="en-US" w:eastAsia="en-US" w:bidi="ar-SA"/>
              </w:rPr>
              <w:t xml:space="preserve">≥</w:t>
            </w:r>
            <w:r>
              <w:rPr>
                <w:rFonts w:ascii="Times New Roman" w:hAnsi="Times New Roman" w:eastAsia="宋体" w:cs="Times New Roman"/>
                <w:spacing w:val="3"/>
                <w:sz w:val="24"/>
                <w:szCs w:val="23"/>
                <w:lang w:val="en-US" w:eastAsia="en-US" w:bidi="ar-SA"/>
              </w:rPr>
              <w:t xml:space="preserve">150</w:t>
            </w:r>
            <w:r>
              <w:rPr>
                <w:rFonts w:ascii="Times New Roman" w:hAnsi="Times New Roman" w:eastAsia="宋体" w:cs="Times New Roman"/>
                <w:sz w:val="24"/>
                <w:szCs w:val="23"/>
                <w:lang w:val="en-US" w:eastAsia="en-US" w:bidi="ar-SA"/>
              </w:rPr>
              <w:t xml:space="preserve">Mbps</w:t>
            </w:r>
            <w:r/>
          </w:p>
        </w:tc>
      </w:tr>
      <w:tr>
        <w:trPr>
          <w:trHeight w:val="317"/>
        </w:trPr>
        <w:tc>
          <w:tcPr>
            <w:tcBorders>
              <w:top w:val="single" w:color="auto" w:sz="2" w:space="0"/>
              <w:left w:val="single" w:color="auto" w:sz="2" w:space="0"/>
              <w:bottom w:val="single" w:color="auto" w:sz="2" w:space="0"/>
              <w:right w:val="single" w:color="auto" w:sz="2" w:space="0"/>
            </w:tcBorders>
            <w:tcW w:w="850" w:type="dxa"/>
            <w:textDirection w:val="lrTb"/>
            <w:noWrap w:val="false"/>
          </w:tcPr>
          <w:p>
            <w:pPr>
              <w:ind w:left="372"/>
              <w:spacing w:before="2" w:line="305" w:lineRule="exact"/>
              <w:rPr>
                <w:rFonts w:hint="default" w:ascii="Times New Roman" w:hAnsi="Times New Roman" w:eastAsia="宋体" w:cs="Times New Roman"/>
                <w:sz w:val="24"/>
                <w:szCs w:val="23"/>
              </w:rPr>
            </w:pPr>
            <w:r>
              <w:rPr>
                <w:rFonts w:hint="default" w:ascii="Times New Roman" w:hAnsi="Times New Roman" w:eastAsia="宋体" w:cs="Times New Roman"/>
                <w:position w:val="2"/>
                <w:sz w:val="24"/>
                <w:szCs w:val="23"/>
              </w:rPr>
              <w:t xml:space="preserve">3</w:t>
            </w:r>
            <w:r/>
          </w:p>
        </w:tc>
        <w:tc>
          <w:tcPr>
            <w:tcBorders>
              <w:top w:val="single" w:color="auto" w:sz="2" w:space="0"/>
              <w:left w:val="single" w:color="auto" w:sz="2" w:space="0"/>
              <w:bottom w:val="single" w:color="auto" w:sz="2" w:space="0"/>
              <w:right w:val="single" w:color="auto" w:sz="2" w:space="0"/>
            </w:tcBorders>
            <w:tcW w:w="2769" w:type="dxa"/>
            <w:textDirection w:val="lrTb"/>
            <w:noWrap w:val="false"/>
          </w:tcPr>
          <w:p>
            <w:pPr>
              <w:ind w:left="302"/>
              <w:jc w:val="both"/>
              <w:spacing w:before="37" w:line="216"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spacing w:val="8"/>
                <w:sz w:val="24"/>
                <w:szCs w:val="23"/>
                <w:lang w:val="en-US" w:eastAsia="en-US" w:bidi="ar-SA"/>
              </w:rPr>
              <w:t xml:space="preserve">最大并发会话数</w:t>
            </w:r>
            <w:r/>
          </w:p>
        </w:tc>
        <w:tc>
          <w:tcPr>
            <w:tcBorders>
              <w:top w:val="single" w:color="auto" w:sz="2" w:space="0"/>
              <w:left w:val="single" w:color="auto" w:sz="2" w:space="0"/>
              <w:bottom w:val="single" w:color="auto" w:sz="2" w:space="0"/>
              <w:right w:val="single" w:color="auto" w:sz="2" w:space="0"/>
            </w:tcBorders>
            <w:tcW w:w="4460" w:type="dxa"/>
            <w:textDirection w:val="lrTb"/>
            <w:noWrap w:val="false"/>
          </w:tcPr>
          <w:p>
            <w:pPr>
              <w:ind w:left="2119"/>
              <w:jc w:val="both"/>
              <w:spacing w:before="2" w:line="305" w:lineRule="exact"/>
              <w:widowControl w:val="off"/>
              <w:rPr>
                <w:rFonts w:ascii="Times New Roman" w:hAnsi="Times New Roman" w:eastAsia="宋体" w:cs="宋体"/>
                <w:sz w:val="24"/>
                <w:szCs w:val="23"/>
                <w:lang w:val="en-US" w:eastAsia="en-US" w:bidi="ar-SA"/>
              </w:rPr>
            </w:pPr>
            <w:r>
              <w:rPr>
                <w:rFonts w:ascii="Times New Roman" w:hAnsi="Times New Roman" w:eastAsia="宋体" w:cs="宋体"/>
                <w:spacing w:val="-4"/>
                <w:position w:val="2"/>
                <w:sz w:val="24"/>
                <w:szCs w:val="23"/>
                <w:lang w:val="en-US" w:eastAsia="en-US" w:bidi="ar-SA"/>
              </w:rPr>
              <w:t xml:space="preserve">≥</w:t>
            </w:r>
            <w:r>
              <w:rPr>
                <w:rFonts w:ascii="Times New Roman" w:hAnsi="Times New Roman" w:eastAsia="宋体" w:cs="Times New Roman"/>
                <w:spacing w:val="-4"/>
                <w:position w:val="2"/>
                <w:sz w:val="24"/>
                <w:szCs w:val="23"/>
                <w:lang w:val="en-US" w:eastAsia="en-US" w:bidi="ar-SA"/>
              </w:rPr>
              <w:t xml:space="preserve">35</w:t>
            </w:r>
            <w:r>
              <w:rPr>
                <w:rFonts w:ascii="Times New Roman" w:hAnsi="Times New Roman" w:eastAsia="宋体" w:cs="宋体"/>
                <w:spacing w:val="-4"/>
                <w:position w:val="2"/>
                <w:sz w:val="24"/>
                <w:szCs w:val="23"/>
                <w:lang w:val="en-US" w:eastAsia="en-US" w:bidi="ar-SA"/>
              </w:rPr>
              <w:t xml:space="preserve">万</w:t>
            </w:r>
            <w:r/>
          </w:p>
        </w:tc>
      </w:tr>
      <w:tr>
        <w:trPr>
          <w:trHeight w:val="317"/>
        </w:trPr>
        <w:tc>
          <w:tcPr>
            <w:tcBorders>
              <w:top w:val="single" w:color="auto" w:sz="2" w:space="0"/>
              <w:left w:val="single" w:color="auto" w:sz="2" w:space="0"/>
              <w:bottom w:val="single" w:color="auto" w:sz="2" w:space="0"/>
              <w:right w:val="single" w:color="auto" w:sz="2" w:space="0"/>
            </w:tcBorders>
            <w:tcW w:w="850" w:type="dxa"/>
            <w:textDirection w:val="lrTb"/>
            <w:noWrap w:val="false"/>
          </w:tcPr>
          <w:p>
            <w:pPr>
              <w:ind w:left="366"/>
              <w:spacing w:before="1" w:line="306" w:lineRule="exact"/>
              <w:rPr>
                <w:rFonts w:hint="default" w:ascii="Times New Roman" w:hAnsi="Times New Roman" w:eastAsia="宋体" w:cs="Times New Roman"/>
                <w:sz w:val="24"/>
                <w:szCs w:val="23"/>
              </w:rPr>
            </w:pPr>
            <w:r>
              <w:rPr>
                <w:rFonts w:hint="default" w:ascii="Times New Roman" w:hAnsi="Times New Roman" w:eastAsia="宋体" w:cs="Times New Roman"/>
                <w:spacing w:val="1"/>
                <w:position w:val="1"/>
                <w:sz w:val="24"/>
                <w:szCs w:val="23"/>
              </w:rPr>
              <w:t xml:space="preserve">4</w:t>
            </w:r>
            <w:r/>
          </w:p>
        </w:tc>
        <w:tc>
          <w:tcPr>
            <w:tcBorders>
              <w:top w:val="single" w:color="auto" w:sz="2" w:space="0"/>
              <w:left w:val="single" w:color="auto" w:sz="2" w:space="0"/>
              <w:bottom w:val="single" w:color="auto" w:sz="2" w:space="0"/>
              <w:right w:val="single" w:color="auto" w:sz="2" w:space="0"/>
            </w:tcBorders>
            <w:tcW w:w="2769" w:type="dxa"/>
            <w:textDirection w:val="lrTb"/>
            <w:noWrap w:val="false"/>
          </w:tcPr>
          <w:p>
            <w:pPr>
              <w:ind w:left="187"/>
              <w:jc w:val="both"/>
              <w:spacing w:before="39" w:line="215" w:lineRule="auto"/>
              <w:widowControl w:val="off"/>
              <w:rPr>
                <w:rFonts w:ascii="Times New Roman" w:hAnsi="Times New Roman" w:eastAsia="宋体" w:cs="宋体"/>
                <w:sz w:val="24"/>
                <w:szCs w:val="23"/>
                <w:lang w:val="en-US" w:eastAsia="en-US" w:bidi="ar-SA"/>
              </w:rPr>
            </w:pPr>
            <w:r>
              <w:rPr>
                <w:rFonts w:ascii="Times New Roman" w:hAnsi="Times New Roman" w:eastAsia="宋体" w:cs="Times New Roman"/>
                <w:sz w:val="24"/>
                <w:szCs w:val="23"/>
                <w:lang w:val="en-US" w:eastAsia="en-US" w:bidi="ar-SA"/>
              </w:rPr>
              <w:t xml:space="preserve">SSLVPN</w:t>
            </w:r>
            <w:r>
              <w:rPr>
                <w:rFonts w:ascii="Times New Roman" w:hAnsi="Times New Roman" w:eastAsia="宋体" w:cs="宋体"/>
                <w:spacing w:val="12"/>
                <w:sz w:val="24"/>
                <w:szCs w:val="23"/>
                <w:lang w:val="en-US" w:eastAsia="en-US" w:bidi="ar-SA"/>
              </w:rPr>
              <w:t xml:space="preserve">加密速度</w:t>
            </w:r>
            <w:r/>
          </w:p>
        </w:tc>
        <w:tc>
          <w:tcPr>
            <w:tcBorders>
              <w:top w:val="single" w:color="auto" w:sz="2" w:space="0"/>
              <w:left w:val="single" w:color="auto" w:sz="2" w:space="0"/>
              <w:bottom w:val="single" w:color="auto" w:sz="2" w:space="0"/>
              <w:right w:val="single" w:color="auto" w:sz="2" w:space="0"/>
            </w:tcBorders>
            <w:tcW w:w="4460" w:type="dxa"/>
            <w:textDirection w:val="lrTb"/>
            <w:noWrap w:val="false"/>
          </w:tcPr>
          <w:p>
            <w:pPr>
              <w:ind w:left="1937"/>
              <w:jc w:val="both"/>
              <w:spacing w:before="39" w:line="215" w:lineRule="auto"/>
              <w:widowControl w:val="off"/>
              <w:rPr>
                <w:rFonts w:ascii="Times New Roman" w:hAnsi="Times New Roman" w:eastAsia="宋体" w:cs="Times New Roman"/>
                <w:sz w:val="24"/>
                <w:szCs w:val="23"/>
                <w:lang w:val="en-US" w:eastAsia="en-US" w:bidi="ar-SA"/>
              </w:rPr>
            </w:pPr>
            <w:r>
              <w:rPr>
                <w:rFonts w:ascii="Times New Roman" w:hAnsi="Times New Roman" w:eastAsia="宋体" w:cs="宋体"/>
                <w:spacing w:val="3"/>
                <w:sz w:val="24"/>
                <w:szCs w:val="23"/>
                <w:lang w:val="en-US" w:eastAsia="en-US" w:bidi="ar-SA"/>
              </w:rPr>
              <w:t xml:space="preserve">≥</w:t>
            </w:r>
            <w:r>
              <w:rPr>
                <w:rFonts w:ascii="Times New Roman" w:hAnsi="Times New Roman" w:eastAsia="宋体" w:cs="Times New Roman"/>
                <w:spacing w:val="3"/>
                <w:sz w:val="24"/>
                <w:szCs w:val="23"/>
                <w:lang w:val="en-US" w:eastAsia="en-US" w:bidi="ar-SA"/>
              </w:rPr>
              <w:t xml:space="preserve">100</w:t>
            </w:r>
            <w:r>
              <w:rPr>
                <w:rFonts w:ascii="Times New Roman" w:hAnsi="Times New Roman" w:eastAsia="宋体" w:cs="Times New Roman"/>
                <w:sz w:val="24"/>
                <w:szCs w:val="23"/>
                <w:lang w:val="en-US" w:eastAsia="en-US" w:bidi="ar-SA"/>
              </w:rPr>
              <w:t xml:space="preserve">Mbps</w:t>
            </w:r>
            <w:r/>
          </w:p>
        </w:tc>
      </w:tr>
      <w:tr>
        <w:trPr>
          <w:trHeight w:val="317"/>
        </w:trPr>
        <w:tc>
          <w:tcPr>
            <w:tcBorders>
              <w:top w:val="single" w:color="auto" w:sz="2" w:space="0"/>
              <w:left w:val="single" w:color="auto" w:sz="2" w:space="0"/>
              <w:bottom w:val="single" w:color="auto" w:sz="2" w:space="0"/>
              <w:right w:val="single" w:color="auto" w:sz="2" w:space="0"/>
            </w:tcBorders>
            <w:tcW w:w="850" w:type="dxa"/>
            <w:textDirection w:val="lrTb"/>
            <w:noWrap w:val="false"/>
          </w:tcPr>
          <w:p>
            <w:pPr>
              <w:ind w:left="373"/>
              <w:spacing w:before="82" w:line="191" w:lineRule="auto"/>
              <w:rPr>
                <w:rFonts w:hint="default" w:ascii="Times New Roman" w:hAnsi="Times New Roman" w:eastAsia="宋体" w:cs="Times New Roman"/>
                <w:sz w:val="24"/>
                <w:szCs w:val="23"/>
              </w:rPr>
            </w:pPr>
            <w:r>
              <w:rPr>
                <w:rFonts w:hint="default" w:ascii="Times New Roman" w:hAnsi="Times New Roman" w:eastAsia="宋体" w:cs="Times New Roman"/>
                <w:sz w:val="24"/>
                <w:szCs w:val="23"/>
              </w:rPr>
              <w:t xml:space="preserve">5</w:t>
            </w:r>
            <w:r/>
          </w:p>
        </w:tc>
        <w:tc>
          <w:tcPr>
            <w:tcBorders>
              <w:top w:val="single" w:color="auto" w:sz="2" w:space="0"/>
              <w:left w:val="single" w:color="auto" w:sz="2" w:space="0"/>
              <w:bottom w:val="single" w:color="auto" w:sz="2" w:space="0"/>
              <w:right w:val="single" w:color="auto" w:sz="2" w:space="0"/>
            </w:tcBorders>
            <w:tcW w:w="2769" w:type="dxa"/>
            <w:textDirection w:val="lrTb"/>
            <w:noWrap w:val="false"/>
          </w:tcPr>
          <w:p>
            <w:pPr>
              <w:ind w:left="278"/>
              <w:jc w:val="both"/>
              <w:spacing w:before="39" w:line="215"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spacing w:val="4"/>
                <w:sz w:val="24"/>
                <w:szCs w:val="23"/>
                <w:lang w:val="en-US" w:eastAsia="en-US" w:bidi="ar-SA"/>
              </w:rPr>
              <w:t xml:space="preserve">并发</w:t>
            </w:r>
            <w:r>
              <w:rPr>
                <w:rFonts w:ascii="Times New Roman" w:hAnsi="Times New Roman" w:eastAsia="宋体" w:cs="Times New Roman"/>
                <w:sz w:val="24"/>
                <w:szCs w:val="23"/>
                <w:lang w:val="en-US" w:eastAsia="en-US" w:bidi="ar-SA"/>
              </w:rPr>
              <w:t xml:space="preserve">SSL</w:t>
            </w:r>
            <w:r>
              <w:rPr>
                <w:rFonts w:ascii="Times New Roman" w:hAnsi="Times New Roman" w:eastAsia="宋体" w:cs="宋体"/>
                <w:spacing w:val="4"/>
                <w:sz w:val="24"/>
                <w:szCs w:val="23"/>
                <w:lang w:val="en-US" w:eastAsia="en-US" w:bidi="ar-SA"/>
              </w:rPr>
              <w:t xml:space="preserve">用户数</w:t>
            </w:r>
            <w:r/>
          </w:p>
        </w:tc>
        <w:tc>
          <w:tcPr>
            <w:tcBorders>
              <w:top w:val="single" w:color="auto" w:sz="2" w:space="0"/>
              <w:left w:val="single" w:color="auto" w:sz="2" w:space="0"/>
              <w:bottom w:val="single" w:color="auto" w:sz="2" w:space="0"/>
              <w:right w:val="single" w:color="auto" w:sz="2" w:space="0"/>
            </w:tcBorders>
            <w:tcW w:w="4460" w:type="dxa"/>
            <w:textDirection w:val="lrTb"/>
            <w:noWrap w:val="false"/>
          </w:tcPr>
          <w:p>
            <w:pPr>
              <w:ind w:left="2059"/>
              <w:jc w:val="both"/>
              <w:spacing w:before="1" w:line="306" w:lineRule="exact"/>
              <w:widowControl w:val="off"/>
              <w:rPr>
                <w:rFonts w:ascii="Times New Roman" w:hAnsi="Times New Roman" w:eastAsia="宋体" w:cs="宋体"/>
                <w:sz w:val="24"/>
                <w:szCs w:val="23"/>
                <w:lang w:val="en-US" w:eastAsia="en-US" w:bidi="ar-SA"/>
              </w:rPr>
            </w:pPr>
            <w:r>
              <w:rPr>
                <w:rFonts w:ascii="Times New Roman" w:hAnsi="Times New Roman" w:eastAsia="宋体" w:cs="宋体"/>
                <w:spacing w:val="-2"/>
                <w:position w:val="1"/>
                <w:sz w:val="24"/>
                <w:szCs w:val="23"/>
                <w:lang w:val="en-US" w:eastAsia="en-US" w:bidi="ar-SA"/>
              </w:rPr>
              <w:t xml:space="preserve">≥</w:t>
            </w:r>
            <w:r>
              <w:rPr>
                <w:rFonts w:ascii="Times New Roman" w:hAnsi="Times New Roman" w:eastAsia="宋体" w:cs="Times New Roman"/>
                <w:spacing w:val="-2"/>
                <w:position w:val="1"/>
                <w:sz w:val="24"/>
                <w:szCs w:val="23"/>
                <w:lang w:val="en-US" w:eastAsia="en-US" w:bidi="ar-SA"/>
              </w:rPr>
              <w:t xml:space="preserve">300</w:t>
            </w:r>
            <w:r>
              <w:rPr>
                <w:rFonts w:ascii="Times New Roman" w:hAnsi="Times New Roman" w:eastAsia="宋体" w:cs="宋体"/>
                <w:spacing w:val="-2"/>
                <w:position w:val="1"/>
                <w:sz w:val="24"/>
                <w:szCs w:val="23"/>
                <w:lang w:val="en-US" w:eastAsia="en-US" w:bidi="ar-SA"/>
              </w:rPr>
              <w:t xml:space="preserve">个</w:t>
            </w:r>
            <w:r/>
          </w:p>
        </w:tc>
      </w:tr>
      <w:tr>
        <w:trPr>
          <w:trHeight w:val="317"/>
        </w:trPr>
        <w:tc>
          <w:tcPr>
            <w:tcBorders>
              <w:top w:val="single" w:color="auto" w:sz="2" w:space="0"/>
              <w:left w:val="single" w:color="auto" w:sz="2" w:space="0"/>
              <w:bottom w:val="single" w:color="auto" w:sz="2" w:space="0"/>
              <w:right w:val="single" w:color="auto" w:sz="2" w:space="0"/>
            </w:tcBorders>
            <w:tcW w:w="850" w:type="dxa"/>
            <w:textDirection w:val="lrTb"/>
            <w:noWrap w:val="false"/>
          </w:tcPr>
          <w:p>
            <w:pPr>
              <w:ind w:left="372"/>
              <w:spacing w:before="3" w:line="304" w:lineRule="exact"/>
              <w:rPr>
                <w:rFonts w:hint="default" w:ascii="Times New Roman" w:hAnsi="Times New Roman" w:eastAsia="宋体" w:cs="Times New Roman"/>
                <w:sz w:val="24"/>
                <w:szCs w:val="23"/>
              </w:rPr>
            </w:pPr>
            <w:r>
              <w:rPr>
                <w:rFonts w:hint="default" w:ascii="Times New Roman" w:hAnsi="Times New Roman" w:eastAsia="宋体" w:cs="Times New Roman"/>
                <w:position w:val="1"/>
                <w:sz w:val="24"/>
                <w:szCs w:val="23"/>
              </w:rPr>
              <w:t xml:space="preserve">6</w:t>
            </w:r>
            <w:r/>
          </w:p>
        </w:tc>
        <w:tc>
          <w:tcPr>
            <w:tcBorders>
              <w:top w:val="single" w:color="auto" w:sz="2" w:space="0"/>
              <w:left w:val="single" w:color="auto" w:sz="2" w:space="0"/>
              <w:bottom w:val="single" w:color="auto" w:sz="2" w:space="0"/>
              <w:right w:val="single" w:color="auto" w:sz="2" w:space="0"/>
            </w:tcBorders>
            <w:tcW w:w="2769" w:type="dxa"/>
            <w:textDirection w:val="lrTb"/>
            <w:noWrap w:val="false"/>
          </w:tcPr>
          <w:p>
            <w:pPr>
              <w:ind w:left="108"/>
              <w:jc w:val="both"/>
              <w:spacing w:before="39" w:line="215" w:lineRule="auto"/>
              <w:widowControl w:val="off"/>
              <w:rPr>
                <w:rFonts w:ascii="Times New Roman" w:hAnsi="Times New Roman" w:eastAsia="宋体" w:cs="宋体"/>
                <w:sz w:val="24"/>
                <w:szCs w:val="23"/>
                <w:lang w:val="en-US" w:eastAsia="en-US" w:bidi="ar-SA"/>
              </w:rPr>
            </w:pPr>
            <w:r>
              <w:rPr>
                <w:rFonts w:ascii="Times New Roman" w:hAnsi="Times New Roman" w:eastAsia="宋体" w:cs="Times New Roman"/>
                <w:sz w:val="24"/>
                <w:szCs w:val="23"/>
                <w:lang w:val="en-US" w:eastAsia="en-US" w:bidi="ar-SA"/>
              </w:rPr>
              <w:t xml:space="preserve">IPSecVPN</w:t>
            </w:r>
            <w:r>
              <w:rPr>
                <w:rFonts w:ascii="Times New Roman" w:hAnsi="Times New Roman" w:eastAsia="宋体" w:cs="宋体"/>
                <w:spacing w:val="14"/>
                <w:sz w:val="24"/>
                <w:szCs w:val="23"/>
                <w:lang w:val="en-US" w:eastAsia="en-US" w:bidi="ar-SA"/>
              </w:rPr>
              <w:t xml:space="preserve">加密速度</w:t>
            </w:r>
            <w:r/>
          </w:p>
        </w:tc>
        <w:tc>
          <w:tcPr>
            <w:tcBorders>
              <w:top w:val="single" w:color="auto" w:sz="2" w:space="0"/>
              <w:left w:val="single" w:color="auto" w:sz="2" w:space="0"/>
              <w:bottom w:val="single" w:color="auto" w:sz="2" w:space="0"/>
              <w:right w:val="single" w:color="auto" w:sz="2" w:space="0"/>
            </w:tcBorders>
            <w:tcW w:w="4460" w:type="dxa"/>
            <w:textDirection w:val="lrTb"/>
            <w:noWrap w:val="false"/>
          </w:tcPr>
          <w:p>
            <w:pPr>
              <w:ind w:left="1997"/>
              <w:jc w:val="both"/>
              <w:spacing w:before="39" w:line="215" w:lineRule="auto"/>
              <w:widowControl w:val="off"/>
              <w:rPr>
                <w:rFonts w:ascii="Times New Roman" w:hAnsi="Times New Roman" w:eastAsia="宋体" w:cs="Times New Roman"/>
                <w:sz w:val="24"/>
                <w:szCs w:val="23"/>
                <w:lang w:val="en-US" w:eastAsia="en-US" w:bidi="ar-SA"/>
              </w:rPr>
            </w:pPr>
            <w:r>
              <w:rPr>
                <w:rFonts w:ascii="Times New Roman" w:hAnsi="Times New Roman" w:eastAsia="宋体" w:cs="宋体"/>
                <w:spacing w:val="2"/>
                <w:sz w:val="24"/>
                <w:szCs w:val="23"/>
                <w:lang w:val="en-US" w:eastAsia="en-US" w:bidi="ar-SA"/>
              </w:rPr>
              <w:t xml:space="preserve">≥</w:t>
            </w:r>
            <w:r>
              <w:rPr>
                <w:rFonts w:ascii="Times New Roman" w:hAnsi="Times New Roman" w:eastAsia="宋体" w:cs="Times New Roman"/>
                <w:spacing w:val="2"/>
                <w:sz w:val="24"/>
                <w:szCs w:val="23"/>
                <w:lang w:val="en-US" w:eastAsia="en-US" w:bidi="ar-SA"/>
              </w:rPr>
              <w:t xml:space="preserve">55</w:t>
            </w:r>
            <w:r>
              <w:rPr>
                <w:rFonts w:ascii="Times New Roman" w:hAnsi="Times New Roman" w:eastAsia="宋体" w:cs="Times New Roman"/>
                <w:sz w:val="24"/>
                <w:szCs w:val="23"/>
                <w:lang w:val="en-US" w:eastAsia="en-US" w:bidi="ar-SA"/>
              </w:rPr>
              <w:t xml:space="preserve">Mbps</w:t>
            </w:r>
            <w:r/>
          </w:p>
        </w:tc>
      </w:tr>
      <w:tr>
        <w:trPr>
          <w:trHeight w:val="316"/>
        </w:trPr>
        <w:tc>
          <w:tcPr>
            <w:tcBorders>
              <w:top w:val="single" w:color="auto" w:sz="2" w:space="0"/>
              <w:left w:val="single" w:color="auto" w:sz="2" w:space="0"/>
              <w:bottom w:val="single" w:color="auto" w:sz="2" w:space="0"/>
              <w:right w:val="single" w:color="auto" w:sz="2" w:space="0"/>
            </w:tcBorders>
            <w:tcW w:w="850" w:type="dxa"/>
            <w:textDirection w:val="lrTb"/>
            <w:noWrap w:val="false"/>
          </w:tcPr>
          <w:p>
            <w:pPr>
              <w:ind w:left="371"/>
              <w:spacing w:before="83" w:line="191" w:lineRule="auto"/>
              <w:rPr>
                <w:rFonts w:hint="default" w:ascii="Times New Roman" w:hAnsi="Times New Roman" w:eastAsia="宋体" w:cs="Times New Roman"/>
                <w:sz w:val="24"/>
                <w:szCs w:val="23"/>
              </w:rPr>
            </w:pPr>
            <w:r>
              <w:rPr>
                <w:rFonts w:hint="default" w:ascii="Times New Roman" w:hAnsi="Times New Roman" w:eastAsia="宋体" w:cs="Times New Roman"/>
                <w:sz w:val="24"/>
                <w:szCs w:val="23"/>
              </w:rPr>
              <w:t xml:space="preserve">7</w:t>
            </w:r>
            <w:r/>
          </w:p>
        </w:tc>
        <w:tc>
          <w:tcPr>
            <w:tcBorders>
              <w:top w:val="single" w:color="auto" w:sz="2" w:space="0"/>
              <w:left w:val="single" w:color="auto" w:sz="2" w:space="0"/>
              <w:bottom w:val="single" w:color="auto" w:sz="2" w:space="0"/>
              <w:right w:val="single" w:color="auto" w:sz="2" w:space="0"/>
            </w:tcBorders>
            <w:tcW w:w="2769" w:type="dxa"/>
            <w:textDirection w:val="lrTb"/>
            <w:noWrap w:val="false"/>
          </w:tcPr>
          <w:p>
            <w:pPr>
              <w:ind w:left="226"/>
              <w:jc w:val="both"/>
              <w:spacing w:before="38" w:line="215" w:lineRule="auto"/>
              <w:widowControl w:val="off"/>
              <w:rPr>
                <w:rFonts w:ascii="Times New Roman" w:hAnsi="Times New Roman" w:eastAsia="宋体" w:cs="宋体"/>
                <w:sz w:val="24"/>
                <w:szCs w:val="23"/>
                <w:lang w:val="en-US" w:eastAsia="en-US" w:bidi="ar-SA"/>
              </w:rPr>
            </w:pPr>
            <w:r>
              <w:rPr>
                <w:rFonts w:ascii="Times New Roman" w:hAnsi="Times New Roman" w:eastAsia="宋体" w:cs="Times New Roman"/>
                <w:sz w:val="24"/>
                <w:szCs w:val="23"/>
                <w:lang w:val="en-US" w:eastAsia="en-US" w:bidi="ar-SA"/>
              </w:rPr>
              <w:t xml:space="preserve">IPSecVPN</w:t>
            </w:r>
            <w:r>
              <w:rPr>
                <w:rFonts w:ascii="Times New Roman" w:hAnsi="Times New Roman" w:eastAsia="宋体" w:cs="宋体"/>
                <w:spacing w:val="14"/>
                <w:sz w:val="24"/>
                <w:szCs w:val="23"/>
                <w:lang w:val="en-US" w:eastAsia="en-US" w:bidi="ar-SA"/>
              </w:rPr>
              <w:t xml:space="preserve">隧道数</w:t>
            </w:r>
            <w:r/>
          </w:p>
        </w:tc>
        <w:tc>
          <w:tcPr>
            <w:tcBorders>
              <w:top w:val="single" w:color="auto" w:sz="2" w:space="0"/>
              <w:left w:val="single" w:color="auto" w:sz="2" w:space="0"/>
              <w:bottom w:val="single" w:color="auto" w:sz="2" w:space="0"/>
              <w:right w:val="single" w:color="auto" w:sz="2" w:space="0"/>
            </w:tcBorders>
            <w:tcW w:w="4460" w:type="dxa"/>
            <w:textDirection w:val="lrTb"/>
            <w:noWrap w:val="false"/>
          </w:tcPr>
          <w:p>
            <w:pPr>
              <w:ind w:left="2211"/>
              <w:jc w:val="both"/>
              <w:spacing w:before="3" w:line="302" w:lineRule="exact"/>
              <w:widowControl w:val="off"/>
              <w:rPr>
                <w:rFonts w:ascii="Times New Roman" w:hAnsi="Times New Roman" w:eastAsia="宋体" w:cs="Times New Roman"/>
                <w:sz w:val="24"/>
                <w:szCs w:val="23"/>
                <w:lang w:val="en-US" w:eastAsia="en-US" w:bidi="ar-SA"/>
              </w:rPr>
            </w:pPr>
            <w:r>
              <w:rPr>
                <w:rFonts w:ascii="Times New Roman" w:hAnsi="Times New Roman" w:eastAsia="宋体" w:cs="宋体"/>
                <w:spacing w:val="-3"/>
                <w:position w:val="1"/>
                <w:sz w:val="24"/>
                <w:szCs w:val="23"/>
                <w:lang w:val="en-US" w:eastAsia="en-US" w:bidi="ar-SA"/>
              </w:rPr>
              <w:t xml:space="preserve">≥</w:t>
            </w:r>
            <w:r>
              <w:rPr>
                <w:rFonts w:ascii="Times New Roman" w:hAnsi="Times New Roman" w:eastAsia="宋体" w:cs="Times New Roman"/>
                <w:spacing w:val="-3"/>
                <w:position w:val="1"/>
                <w:sz w:val="24"/>
                <w:szCs w:val="23"/>
                <w:lang w:val="en-US" w:eastAsia="en-US" w:bidi="ar-SA"/>
              </w:rPr>
              <w:t xml:space="preserve">300</w:t>
            </w:r>
            <w:r/>
          </w:p>
        </w:tc>
      </w:tr>
      <w:tr>
        <w:trPr>
          <w:trHeight w:val="317"/>
        </w:trPr>
        <w:tc>
          <w:tcPr>
            <w:tcBorders>
              <w:top w:val="single" w:color="auto" w:sz="2" w:space="0"/>
              <w:left w:val="single" w:color="auto" w:sz="2" w:space="0"/>
              <w:bottom w:val="single" w:color="auto" w:sz="2" w:space="0"/>
              <w:right w:val="single" w:color="auto" w:sz="2" w:space="0"/>
            </w:tcBorders>
            <w:tcW w:w="850" w:type="dxa"/>
            <w:textDirection w:val="lrTb"/>
            <w:noWrap w:val="false"/>
          </w:tcPr>
          <w:p>
            <w:pPr>
              <w:ind w:left="377"/>
              <w:spacing w:before="3" w:line="304" w:lineRule="exact"/>
              <w:rPr>
                <w:rFonts w:hint="default" w:ascii="Times New Roman" w:hAnsi="Times New Roman" w:eastAsia="宋体" w:cs="Times New Roman"/>
                <w:sz w:val="24"/>
                <w:szCs w:val="23"/>
              </w:rPr>
            </w:pPr>
            <w:r>
              <w:rPr>
                <w:rFonts w:hint="default" w:ascii="Times New Roman" w:hAnsi="Times New Roman" w:eastAsia="宋体" w:cs="Times New Roman"/>
                <w:position w:val="1"/>
                <w:sz w:val="24"/>
                <w:szCs w:val="23"/>
              </w:rPr>
              <w:t xml:space="preserve">8</w:t>
            </w:r>
            <w:r/>
          </w:p>
        </w:tc>
        <w:tc>
          <w:tcPr>
            <w:tcBorders>
              <w:top w:val="single" w:color="auto" w:sz="2" w:space="0"/>
              <w:left w:val="single" w:color="auto" w:sz="2" w:space="0"/>
              <w:bottom w:val="single" w:color="auto" w:sz="2" w:space="0"/>
              <w:right w:val="single" w:color="auto" w:sz="2" w:space="0"/>
            </w:tcBorders>
            <w:tcW w:w="2769" w:type="dxa"/>
            <w:textDirection w:val="lrTb"/>
            <w:noWrap w:val="false"/>
          </w:tcPr>
          <w:p>
            <w:pPr>
              <w:ind w:left="659"/>
              <w:jc w:val="both"/>
              <w:spacing w:before="39" w:line="215"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spacing w:val="7"/>
                <w:sz w:val="24"/>
                <w:szCs w:val="23"/>
                <w:lang w:val="en-US" w:eastAsia="en-US" w:bidi="ar-SA"/>
              </w:rPr>
              <w:t xml:space="preserve">产品尺寸</w:t>
            </w:r>
            <w:r/>
          </w:p>
        </w:tc>
        <w:tc>
          <w:tcPr>
            <w:tcBorders>
              <w:top w:val="single" w:color="auto" w:sz="2" w:space="0"/>
              <w:left w:val="single" w:color="auto" w:sz="2" w:space="0"/>
              <w:bottom w:val="single" w:color="auto" w:sz="2" w:space="0"/>
              <w:right w:val="single" w:color="auto" w:sz="2" w:space="0"/>
            </w:tcBorders>
            <w:tcW w:w="4460" w:type="dxa"/>
            <w:textDirection w:val="lrTb"/>
            <w:noWrap w:val="false"/>
          </w:tcPr>
          <w:p>
            <w:pPr>
              <w:ind w:left="1802"/>
              <w:jc w:val="both"/>
              <w:spacing w:before="39" w:line="215"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sz w:val="24"/>
                <w:szCs w:val="23"/>
                <w:lang w:val="en-US" w:eastAsia="en-US" w:bidi="ar-SA"/>
              </w:rPr>
              <w:t xml:space="preserve">标准</w:t>
            </w:r>
            <w:r>
              <w:rPr>
                <w:rFonts w:ascii="Times New Roman" w:hAnsi="Times New Roman" w:eastAsia="宋体" w:cs="Times New Roman"/>
                <w:sz w:val="24"/>
                <w:szCs w:val="23"/>
                <w:lang w:val="en-US" w:eastAsia="en-US" w:bidi="ar-SA"/>
              </w:rPr>
              <w:t xml:space="preserve">1U</w:t>
            </w:r>
            <w:r>
              <w:rPr>
                <w:rFonts w:ascii="Times New Roman" w:hAnsi="Times New Roman" w:eastAsia="宋体" w:cs="宋体"/>
                <w:sz w:val="24"/>
                <w:szCs w:val="23"/>
                <w:lang w:val="en-US" w:eastAsia="en-US" w:bidi="ar-SA"/>
              </w:rPr>
              <w:t xml:space="preserve">架构</w:t>
            </w:r>
            <w:r/>
          </w:p>
        </w:tc>
      </w:tr>
      <w:tr>
        <w:trPr>
          <w:trHeight w:val="317"/>
        </w:trPr>
        <w:tc>
          <w:tcPr>
            <w:tcBorders>
              <w:top w:val="single" w:color="auto" w:sz="2" w:space="0"/>
              <w:left w:val="single" w:color="auto" w:sz="2" w:space="0"/>
              <w:bottom w:val="single" w:color="auto" w:sz="2" w:space="0"/>
              <w:right w:val="single" w:color="auto" w:sz="2" w:space="0"/>
            </w:tcBorders>
            <w:tcW w:w="850" w:type="dxa"/>
            <w:textDirection w:val="lrTb"/>
            <w:noWrap w:val="false"/>
          </w:tcPr>
          <w:p>
            <w:pPr>
              <w:ind w:left="371"/>
              <w:spacing w:before="3" w:line="304" w:lineRule="exact"/>
              <w:rPr>
                <w:rFonts w:hint="default" w:ascii="Times New Roman" w:hAnsi="Times New Roman" w:eastAsia="宋体" w:cs="Times New Roman"/>
                <w:sz w:val="24"/>
                <w:szCs w:val="23"/>
              </w:rPr>
            </w:pPr>
            <w:r>
              <w:rPr>
                <w:rFonts w:hint="default" w:ascii="Times New Roman" w:hAnsi="Times New Roman" w:eastAsia="宋体" w:cs="Times New Roman"/>
                <w:position w:val="1"/>
                <w:sz w:val="24"/>
                <w:szCs w:val="23"/>
              </w:rPr>
              <w:t xml:space="preserve">9</w:t>
            </w:r>
            <w:r/>
          </w:p>
        </w:tc>
        <w:tc>
          <w:tcPr>
            <w:tcBorders>
              <w:top w:val="single" w:color="auto" w:sz="2" w:space="0"/>
              <w:left w:val="single" w:color="auto" w:sz="2" w:space="0"/>
              <w:bottom w:val="single" w:color="auto" w:sz="2" w:space="0"/>
              <w:right w:val="single" w:color="auto" w:sz="2" w:space="0"/>
            </w:tcBorders>
            <w:tcW w:w="2769" w:type="dxa"/>
            <w:textDirection w:val="lrTb"/>
            <w:noWrap w:val="false"/>
          </w:tcPr>
          <w:p>
            <w:pPr>
              <w:ind w:left="927"/>
              <w:jc w:val="both"/>
              <w:spacing w:before="39" w:line="215"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spacing w:val="-5"/>
                <w:sz w:val="24"/>
                <w:szCs w:val="23"/>
                <w:lang w:val="en-US" w:eastAsia="en-US" w:bidi="ar-SA"/>
              </w:rPr>
              <w:t xml:space="preserve">电源</w:t>
            </w:r>
            <w:r/>
          </w:p>
        </w:tc>
        <w:tc>
          <w:tcPr>
            <w:tcBorders>
              <w:top w:val="single" w:color="auto" w:sz="2" w:space="0"/>
              <w:left w:val="single" w:color="auto" w:sz="2" w:space="0"/>
              <w:bottom w:val="single" w:color="auto" w:sz="2" w:space="0"/>
              <w:right w:val="single" w:color="auto" w:sz="2" w:space="0"/>
            </w:tcBorders>
            <w:tcW w:w="4460" w:type="dxa"/>
            <w:textDirection w:val="lrTb"/>
            <w:noWrap w:val="false"/>
          </w:tcPr>
          <w:p>
            <w:pPr>
              <w:ind w:left="2129"/>
              <w:jc w:val="both"/>
              <w:spacing w:before="39" w:line="215"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spacing w:val="6"/>
                <w:sz w:val="24"/>
                <w:szCs w:val="23"/>
                <w:lang w:val="en-US" w:eastAsia="en-US" w:bidi="ar-SA"/>
              </w:rPr>
              <w:t xml:space="preserve">单电源</w:t>
            </w:r>
            <w:r/>
          </w:p>
        </w:tc>
      </w:tr>
      <w:tr>
        <w:trPr>
          <w:trHeight w:val="1880"/>
        </w:trPr>
        <w:tc>
          <w:tcPr>
            <w:tcBorders>
              <w:top w:val="single" w:color="auto" w:sz="2" w:space="0"/>
              <w:left w:val="single" w:color="auto" w:sz="2" w:space="0"/>
              <w:bottom w:val="single" w:color="auto" w:sz="2" w:space="0"/>
              <w:right w:val="single" w:color="auto" w:sz="2" w:space="0"/>
            </w:tcBorders>
            <w:tcW w:w="850" w:type="dxa"/>
            <w:textDirection w:val="lrTb"/>
            <w:noWrap w:val="false"/>
          </w:tcPr>
          <w:p>
            <w:pPr>
              <w:spacing w:line="356" w:lineRule="auto"/>
              <w:rPr>
                <w:rFonts w:hint="default" w:ascii="Times New Roman" w:hAnsi="Times New Roman" w:eastAsia="宋体" w:cs="Times New Roman"/>
                <w:sz w:val="24"/>
                <w:szCs w:val="21"/>
              </w:rPr>
            </w:pPr>
            <w:r>
              <w:rPr>
                <w:rFonts w:hint="default" w:ascii="Times New Roman" w:hAnsi="Times New Roman" w:eastAsia="宋体" w:cs="Times New Roman"/>
                <w:sz w:val="24"/>
                <w:szCs w:val="21"/>
              </w:rPr>
            </w:r>
            <w:r/>
          </w:p>
          <w:p>
            <w:pPr>
              <w:spacing w:line="356" w:lineRule="auto"/>
              <w:rPr>
                <w:rFonts w:hint="default" w:ascii="Times New Roman" w:hAnsi="Times New Roman" w:eastAsia="宋体" w:cs="Times New Roman"/>
                <w:sz w:val="24"/>
                <w:szCs w:val="21"/>
              </w:rPr>
            </w:pPr>
            <w:r>
              <w:rPr>
                <w:rFonts w:hint="default" w:ascii="Times New Roman" w:hAnsi="Times New Roman" w:eastAsia="宋体" w:cs="Times New Roman"/>
                <w:sz w:val="24"/>
                <w:szCs w:val="21"/>
              </w:rPr>
            </w:r>
            <w:r/>
          </w:p>
          <w:p>
            <w:pPr>
              <w:ind w:left="330"/>
              <w:spacing w:before="66" w:line="315" w:lineRule="exact"/>
              <w:rPr>
                <w:rFonts w:hint="default" w:ascii="Times New Roman" w:hAnsi="Times New Roman" w:eastAsia="宋体" w:cs="Times New Roman"/>
                <w:sz w:val="24"/>
                <w:szCs w:val="23"/>
              </w:rPr>
            </w:pPr>
            <w:r>
              <w:rPr>
                <w:rFonts w:hint="default" w:ascii="Times New Roman" w:hAnsi="Times New Roman" w:eastAsia="宋体" w:cs="Times New Roman"/>
                <w:spacing w:val="-11"/>
                <w:position w:val="2"/>
                <w:sz w:val="24"/>
                <w:szCs w:val="23"/>
              </w:rPr>
              <w:t xml:space="preserve">10</w:t>
            </w:r>
            <w:r/>
          </w:p>
        </w:tc>
        <w:tc>
          <w:tcPr>
            <w:tcBorders>
              <w:top w:val="single" w:color="auto" w:sz="2" w:space="0"/>
              <w:left w:val="single" w:color="auto" w:sz="2" w:space="0"/>
              <w:bottom w:val="single" w:color="auto" w:sz="2" w:space="0"/>
              <w:right w:val="single" w:color="auto" w:sz="2" w:space="0"/>
            </w:tcBorders>
            <w:tcW w:w="2769" w:type="dxa"/>
            <w:textDirection w:val="lrTb"/>
            <w:noWrap w:val="false"/>
          </w:tcPr>
          <w:p>
            <w:pPr>
              <w:spacing w:line="246" w:lineRule="auto"/>
              <w:rPr>
                <w:rFonts w:hint="default" w:ascii="Times New Roman" w:hAnsi="Times New Roman" w:eastAsia="宋体" w:cs="Times New Roman"/>
                <w:sz w:val="24"/>
                <w:szCs w:val="21"/>
              </w:rPr>
            </w:pPr>
            <w:r>
              <w:rPr>
                <w:rFonts w:hint="default" w:ascii="Times New Roman" w:hAnsi="Times New Roman" w:eastAsia="宋体" w:cs="Times New Roman"/>
                <w:sz w:val="24"/>
                <w:szCs w:val="21"/>
              </w:rPr>
            </w:r>
            <w:r/>
          </w:p>
          <w:p>
            <w:pPr>
              <w:spacing w:line="247" w:lineRule="auto"/>
              <w:rPr>
                <w:rFonts w:hint="default" w:ascii="Times New Roman" w:hAnsi="Times New Roman" w:eastAsia="宋体" w:cs="Times New Roman"/>
                <w:sz w:val="24"/>
                <w:szCs w:val="21"/>
              </w:rPr>
            </w:pPr>
            <w:r>
              <w:rPr>
                <w:rFonts w:hint="default" w:ascii="Times New Roman" w:hAnsi="Times New Roman" w:eastAsia="宋体" w:cs="Times New Roman"/>
                <w:sz w:val="24"/>
                <w:szCs w:val="21"/>
              </w:rPr>
            </w:r>
            <w:r/>
          </w:p>
          <w:p>
            <w:pPr>
              <w:spacing w:line="247" w:lineRule="auto"/>
              <w:rPr>
                <w:rFonts w:hint="default" w:ascii="Times New Roman" w:hAnsi="Times New Roman" w:eastAsia="宋体" w:cs="Times New Roman"/>
                <w:sz w:val="24"/>
                <w:szCs w:val="21"/>
              </w:rPr>
            </w:pPr>
            <w:r>
              <w:rPr>
                <w:rFonts w:hint="default" w:ascii="Times New Roman" w:hAnsi="Times New Roman" w:eastAsia="宋体" w:cs="Times New Roman"/>
                <w:sz w:val="24"/>
                <w:szCs w:val="21"/>
              </w:rPr>
            </w:r>
            <w:r/>
          </w:p>
          <w:p>
            <w:pPr>
              <w:ind w:left="903"/>
              <w:jc w:val="both"/>
              <w:spacing w:before="75" w:line="229"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spacing w:val="3"/>
                <w:sz w:val="24"/>
                <w:szCs w:val="23"/>
                <w:lang w:val="en-US" w:eastAsia="en-US" w:bidi="ar-SA"/>
              </w:rPr>
              <w:t xml:space="preserve">功能</w:t>
            </w:r>
            <w:r/>
          </w:p>
        </w:tc>
        <w:tc>
          <w:tcPr>
            <w:tcBorders>
              <w:top w:val="single" w:color="auto" w:sz="2" w:space="0"/>
              <w:left w:val="single" w:color="auto" w:sz="2" w:space="0"/>
              <w:bottom w:val="single" w:color="auto" w:sz="2" w:space="0"/>
              <w:right w:val="single" w:color="auto" w:sz="2" w:space="0"/>
            </w:tcBorders>
            <w:tcW w:w="4460" w:type="dxa"/>
            <w:textDirection w:val="lrTb"/>
            <w:noWrap w:val="false"/>
          </w:tcPr>
          <w:p>
            <w:pPr>
              <w:ind w:left="115" w:right="48"/>
              <w:jc w:val="both"/>
              <w:spacing w:before="38" w:line="245" w:lineRule="auto"/>
              <w:widowControl w:val="off"/>
              <w:rPr>
                <w:rFonts w:ascii="Times New Roman" w:hAnsi="Times New Roman" w:eastAsia="宋体" w:cs="宋体"/>
                <w:sz w:val="24"/>
                <w:szCs w:val="23"/>
                <w:lang w:val="en-US" w:eastAsia="en-US" w:bidi="ar-SA"/>
              </w:rPr>
            </w:pPr>
            <w:r>
              <w:rPr>
                <w:rFonts w:ascii="Times New Roman" w:hAnsi="Times New Roman" w:eastAsia="宋体" w:cs="宋体"/>
                <w:spacing w:val="6"/>
                <w:sz w:val="24"/>
                <w:szCs w:val="23"/>
                <w:lang w:val="en-US" w:eastAsia="en-US" w:bidi="ar-SA"/>
              </w:rPr>
              <w:t xml:space="preserve">支持基于</w:t>
            </w:r>
            <w:r>
              <w:rPr>
                <w:rFonts w:ascii="Times New Roman" w:hAnsi="Times New Roman" w:eastAsia="宋体" w:cs="Times New Roman"/>
                <w:sz w:val="24"/>
                <w:szCs w:val="23"/>
                <w:lang w:val="en-US" w:eastAsia="en-US" w:bidi="ar-SA"/>
              </w:rPr>
              <w:t xml:space="preserve">TCP</w:t>
            </w:r>
            <w:r>
              <w:rPr>
                <w:rFonts w:ascii="Times New Roman" w:hAnsi="Times New Roman" w:eastAsia="宋体" w:cs="宋体"/>
                <w:spacing w:val="6"/>
                <w:sz w:val="24"/>
                <w:szCs w:val="23"/>
                <w:lang w:val="en-US" w:eastAsia="en-US" w:bidi="ar-SA"/>
              </w:rPr>
              <w:t xml:space="preserve">、</w:t>
            </w:r>
            <w:r>
              <w:rPr>
                <w:rFonts w:ascii="Times New Roman" w:hAnsi="Times New Roman" w:eastAsia="宋体" w:cs="Times New Roman"/>
                <w:sz w:val="24"/>
                <w:szCs w:val="23"/>
                <w:lang w:val="en-US" w:eastAsia="en-US" w:bidi="ar-SA"/>
              </w:rPr>
              <w:t xml:space="preserve">UDP</w:t>
            </w:r>
            <w:r>
              <w:rPr>
                <w:rFonts w:ascii="Times New Roman" w:hAnsi="Times New Roman" w:eastAsia="宋体" w:cs="宋体"/>
                <w:spacing w:val="6"/>
                <w:sz w:val="24"/>
                <w:szCs w:val="23"/>
                <w:lang w:val="en-US" w:eastAsia="en-US" w:bidi="ar-SA"/>
              </w:rPr>
              <w:t xml:space="preserve">、</w:t>
            </w:r>
            <w:r>
              <w:rPr>
                <w:rFonts w:ascii="Times New Roman" w:hAnsi="Times New Roman" w:eastAsia="宋体" w:cs="Times New Roman"/>
                <w:sz w:val="24"/>
                <w:szCs w:val="23"/>
                <w:lang w:val="en-US" w:eastAsia="en-US" w:bidi="ar-SA"/>
              </w:rPr>
              <w:t xml:space="preserve">ICMP</w:t>
            </w:r>
            <w:r>
              <w:rPr>
                <w:rFonts w:ascii="Times New Roman" w:hAnsi="Times New Roman" w:eastAsia="宋体" w:cs="宋体"/>
                <w:spacing w:val="6"/>
                <w:sz w:val="24"/>
                <w:szCs w:val="23"/>
                <w:lang w:val="en-US" w:eastAsia="en-US" w:bidi="ar-SA"/>
              </w:rPr>
              <w:t xml:space="preserve">的应用；完整支</w:t>
            </w:r>
            <w:r>
              <w:rPr>
                <w:rFonts w:ascii="Times New Roman" w:hAnsi="Times New Roman" w:eastAsia="宋体" w:cs="宋体"/>
                <w:spacing w:val="11"/>
                <w:sz w:val="24"/>
                <w:szCs w:val="23"/>
                <w:lang w:val="en-US" w:eastAsia="en-US" w:bidi="ar-SA"/>
              </w:rPr>
              <w:t xml:space="preserve">持主流操作系统（</w:t>
            </w:r>
            <w:r>
              <w:rPr>
                <w:rFonts w:ascii="Times New Roman" w:hAnsi="Times New Roman" w:eastAsia="宋体" w:cs="Times New Roman"/>
                <w:sz w:val="24"/>
                <w:szCs w:val="23"/>
                <w:lang w:val="en-US" w:eastAsia="en-US" w:bidi="ar-SA"/>
              </w:rPr>
              <w:t xml:space="preserve">Windows</w:t>
            </w:r>
            <w:r>
              <w:rPr>
                <w:rFonts w:ascii="Times New Roman" w:hAnsi="Times New Roman" w:eastAsia="宋体" w:cs="宋体"/>
                <w:spacing w:val="11"/>
                <w:sz w:val="24"/>
                <w:szCs w:val="23"/>
                <w:lang w:val="en-US" w:eastAsia="en-US" w:bidi="ar-SA"/>
              </w:rPr>
              <w:t xml:space="preserve">、</w:t>
            </w:r>
            <w:r>
              <w:rPr>
                <w:rFonts w:ascii="Times New Roman" w:hAnsi="Times New Roman" w:eastAsia="宋体" w:cs="Times New Roman"/>
                <w:sz w:val="24"/>
                <w:szCs w:val="23"/>
                <w:lang w:val="en-US" w:eastAsia="en-US" w:bidi="ar-SA"/>
              </w:rPr>
              <w:t xml:space="preserve">Linux</w:t>
            </w:r>
            <w:r>
              <w:rPr>
                <w:rFonts w:ascii="Times New Roman" w:hAnsi="Times New Roman" w:eastAsia="宋体" w:cs="宋体"/>
                <w:spacing w:val="11"/>
                <w:sz w:val="24"/>
                <w:szCs w:val="23"/>
                <w:lang w:val="en-US" w:eastAsia="en-US" w:bidi="ar-SA"/>
              </w:rPr>
              <w:t xml:space="preserve">、</w:t>
            </w:r>
            <w:r>
              <w:rPr>
                <w:rFonts w:ascii="Times New Roman" w:hAnsi="Times New Roman" w:eastAsia="宋体" w:cs="Times New Roman"/>
                <w:sz w:val="24"/>
                <w:szCs w:val="23"/>
                <w:lang w:val="en-US" w:eastAsia="en-US" w:bidi="ar-SA"/>
              </w:rPr>
              <w:t xml:space="preserve">Mac</w:t>
            </w:r>
            <w:r>
              <w:rPr>
                <w:rFonts w:ascii="Times New Roman" w:hAnsi="Times New Roman" w:eastAsia="宋体" w:cs="宋体"/>
                <w:spacing w:val="14"/>
                <w:sz w:val="24"/>
                <w:szCs w:val="23"/>
                <w:lang w:val="en-US" w:eastAsia="en-US" w:bidi="ar-SA"/>
              </w:rPr>
              <w:t xml:space="preserve">）；</w:t>
            </w:r>
            <w:r>
              <w:rPr>
                <w:rFonts w:ascii="Times New Roman" w:hAnsi="Times New Roman" w:eastAsia="宋体" w:cs="宋体"/>
                <w:spacing w:val="-7"/>
                <w:sz w:val="24"/>
                <w:szCs w:val="23"/>
                <w:lang w:val="en-US" w:eastAsia="en-US" w:bidi="ar-SA"/>
              </w:rPr>
              <w:t xml:space="preserve">支持</w:t>
            </w:r>
            <w:r>
              <w:rPr>
                <w:rFonts w:ascii="Times New Roman" w:hAnsi="Times New Roman" w:eastAsia="宋体" w:cs="Times New Roman"/>
                <w:spacing w:val="-7"/>
                <w:sz w:val="24"/>
                <w:szCs w:val="23"/>
                <w:lang w:val="en-US" w:eastAsia="en-US" w:bidi="ar-SA"/>
              </w:rPr>
              <w:t xml:space="preserve">IE</w:t>
            </w:r>
            <w:r>
              <w:rPr>
                <w:rFonts w:ascii="Times New Roman" w:hAnsi="Times New Roman" w:eastAsia="宋体" w:cs="宋体"/>
                <w:spacing w:val="-7"/>
                <w:sz w:val="24"/>
                <w:szCs w:val="23"/>
                <w:lang w:val="en-US" w:eastAsia="en-US" w:bidi="ar-SA"/>
              </w:rPr>
              <w:t xml:space="preserve">、</w:t>
            </w:r>
            <w:r>
              <w:rPr>
                <w:rFonts w:ascii="Times New Roman" w:hAnsi="Times New Roman" w:eastAsia="宋体" w:cs="Times New Roman"/>
                <w:spacing w:val="-7"/>
                <w:sz w:val="24"/>
                <w:szCs w:val="23"/>
                <w:lang w:val="en-US" w:eastAsia="en-US" w:bidi="ar-SA"/>
              </w:rPr>
              <w:t xml:space="preserve">Firefox</w:t>
            </w:r>
            <w:r>
              <w:rPr>
                <w:rFonts w:ascii="Times New Roman" w:hAnsi="Times New Roman" w:eastAsia="宋体" w:cs="宋体"/>
                <w:spacing w:val="-7"/>
                <w:sz w:val="24"/>
                <w:szCs w:val="23"/>
                <w:lang w:val="en-US" w:eastAsia="en-US" w:bidi="ar-SA"/>
              </w:rPr>
              <w:t xml:space="preserve">、</w:t>
            </w:r>
            <w:r>
              <w:rPr>
                <w:rFonts w:ascii="Times New Roman" w:hAnsi="Times New Roman" w:eastAsia="宋体" w:cs="Times New Roman"/>
                <w:spacing w:val="-7"/>
                <w:sz w:val="24"/>
                <w:szCs w:val="23"/>
                <w:lang w:val="en-US" w:eastAsia="en-US" w:bidi="ar-SA"/>
              </w:rPr>
              <w:t xml:space="preserve">Safari</w:t>
            </w:r>
            <w:r>
              <w:rPr>
                <w:rFonts w:ascii="Times New Roman" w:hAnsi="Times New Roman" w:eastAsia="宋体" w:cs="宋体"/>
                <w:spacing w:val="-7"/>
                <w:sz w:val="24"/>
                <w:szCs w:val="23"/>
                <w:lang w:val="en-US" w:eastAsia="en-US" w:bidi="ar-SA"/>
              </w:rPr>
              <w:t xml:space="preserve">、</w:t>
            </w:r>
            <w:r>
              <w:rPr>
                <w:rFonts w:ascii="Times New Roman" w:hAnsi="Times New Roman" w:eastAsia="宋体" w:cs="Times New Roman"/>
                <w:spacing w:val="-7"/>
                <w:sz w:val="24"/>
                <w:szCs w:val="23"/>
                <w:lang w:val="en-US" w:eastAsia="en-US" w:bidi="ar-SA"/>
              </w:rPr>
              <w:t xml:space="preserve">Goog1eChrome</w:t>
            </w:r>
            <w:r>
              <w:rPr>
                <w:rFonts w:ascii="Times New Roman" w:hAnsi="Times New Roman" w:eastAsia="宋体" w:cs="宋体"/>
                <w:spacing w:val="-7"/>
                <w:sz w:val="24"/>
                <w:szCs w:val="23"/>
                <w:lang w:val="en-US" w:eastAsia="en-US" w:bidi="ar-SA"/>
              </w:rPr>
              <w:t xml:space="preserve">、</w:t>
            </w:r>
            <w:r>
              <w:rPr>
                <w:rFonts w:ascii="Times New Roman" w:hAnsi="Times New Roman" w:eastAsia="宋体" w:cs="Times New Roman"/>
                <w:spacing w:val="-7"/>
                <w:sz w:val="24"/>
                <w:szCs w:val="23"/>
                <w:lang w:val="en-US" w:eastAsia="en-US" w:bidi="ar-SA"/>
              </w:rPr>
              <w:t xml:space="preserve">Opera</w:t>
            </w:r>
            <w:r>
              <w:rPr>
                <w:rFonts w:ascii="Times New Roman" w:hAnsi="Times New Roman" w:eastAsia="宋体" w:cs="宋体"/>
                <w:spacing w:val="-2"/>
                <w:sz w:val="24"/>
                <w:szCs w:val="23"/>
                <w:lang w:val="en-US" w:eastAsia="en-US" w:bidi="ar-SA"/>
              </w:rPr>
              <w:t xml:space="preserve">等主流浏览器；全面支持智能手机、移动终端；</w:t>
            </w:r>
            <w:r>
              <w:rPr>
                <w:rFonts w:ascii="Times New Roman" w:hAnsi="Times New Roman" w:eastAsia="宋体" w:cs="宋体"/>
                <w:spacing w:val="6"/>
                <w:sz w:val="24"/>
                <w:szCs w:val="23"/>
                <w:lang w:val="en-US" w:eastAsia="en-US" w:bidi="ar-SA"/>
              </w:rPr>
              <w:t xml:space="preserve">支持主流商业加密算法与国密算法；支持虚拟</w:t>
            </w:r>
            <w:r>
              <w:rPr>
                <w:rFonts w:ascii="Times New Roman" w:hAnsi="Times New Roman" w:eastAsia="宋体" w:cs="宋体"/>
                <w:spacing w:val="3"/>
                <w:sz w:val="24"/>
                <w:szCs w:val="23"/>
                <w:lang w:val="en-US" w:eastAsia="en-US" w:bidi="ar-SA"/>
              </w:rPr>
              <w:t xml:space="preserve">安全桌面；支持跨平台文件共享。</w:t>
            </w:r>
            <w:r/>
          </w:p>
        </w:tc>
      </w:tr>
    </w:tbl>
    <w:p>
      <w:pPr>
        <w:ind w:firstLine="482"/>
        <w:keepLines w:val="0"/>
        <w:keepNext w:val="0"/>
        <w:pageBreakBefore w:val="0"/>
        <w:spacing w:line="560" w:lineRule="exact"/>
        <w:widowControl w:val="off"/>
        <w:rPr>
          <w:rFonts w:hint="default" w:ascii="Times New Roman" w:hAnsi="Times New Roman" w:eastAsia="宋体" w:cs="宋体"/>
          <w:b/>
          <w:bCs/>
          <w:sz w:val="24"/>
          <w:szCs w:val="21"/>
          <w:lang w:val="en-US" w:eastAsia="zh-CN"/>
        </w:rPr>
        <w:outlineLvl w:val="1"/>
      </w:pPr>
      <w:r>
        <w:rPr>
          <w:rFonts w:hint="eastAsia" w:ascii="Times New Roman" w:hAnsi="Times New Roman" w:eastAsia="宋体" w:cs="宋体"/>
          <w:b/>
          <w:bCs/>
          <w:sz w:val="24"/>
          <w:szCs w:val="21"/>
          <w:lang w:val="en-US" w:eastAsia="zh-CN"/>
        </w:rPr>
        <w:t xml:space="preserve">（三）水质监测浮标站技术要求</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122"/>
        <w:gridCol w:w="6174"/>
      </w:tblGrid>
      <w:tr>
        <w:trPr>
          <w:jc w:val="center"/>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87"/>
              <w:ind w:firstLine="0"/>
              <w:jc w:val="center"/>
              <w:rPr>
                <w:rFonts w:hint="default" w:ascii="Times New Roman" w:hAnsi="Times New Roman" w:eastAsia="宋体" w:cs="Times New Roman"/>
                <w:sz w:val="24"/>
                <w:szCs w:val="28"/>
              </w:rPr>
            </w:pPr>
            <w:r>
              <w:rPr>
                <w:rFonts w:hint="default" w:ascii="Times New Roman" w:hAnsi="Times New Roman" w:eastAsia="宋体" w:cs="Times New Roman"/>
                <w:sz w:val="24"/>
                <w:szCs w:val="28"/>
              </w:rPr>
              <w:t xml:space="preserve">检测原理</w:t>
            </w:r>
            <w:r/>
          </w:p>
        </w:tc>
        <w:tc>
          <w:tcPr>
            <w:tcBorders>
              <w:top w:val="single" w:color="auto" w:sz="4" w:space="0"/>
              <w:left w:val="single" w:color="auto" w:sz="4" w:space="0"/>
              <w:bottom w:val="single" w:color="auto" w:sz="4" w:space="0"/>
              <w:right w:val="single" w:color="auto" w:sz="4" w:space="0"/>
            </w:tcBorders>
            <w:tcW w:w="6174" w:type="dxa"/>
            <w:vAlign w:val="center"/>
            <w:textDirection w:val="lrTb"/>
            <w:noWrap w:val="false"/>
          </w:tcPr>
          <w:p>
            <w:pPr>
              <w:pStyle w:val="1087"/>
              <w:ind w:firstLine="0"/>
              <w:jc w:val="center"/>
              <w:rPr>
                <w:rFonts w:hint="default" w:ascii="Times New Roman" w:hAnsi="Times New Roman" w:eastAsia="宋体" w:cs="Times New Roman"/>
                <w:sz w:val="24"/>
                <w:szCs w:val="28"/>
              </w:rPr>
            </w:pPr>
            <w:r>
              <w:rPr>
                <w:rFonts w:hint="default" w:ascii="Times New Roman" w:hAnsi="Times New Roman" w:eastAsia="宋体" w:cs="Times New Roman"/>
                <w:sz w:val="24"/>
                <w:szCs w:val="28"/>
              </w:rPr>
              <w:t xml:space="preserve">原位连续检查</w:t>
            </w:r>
            <w:r/>
          </w:p>
        </w:tc>
      </w:tr>
      <w:tr>
        <w:trPr>
          <w:jc w:val="center"/>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87"/>
              <w:ind w:firstLine="0"/>
              <w:jc w:val="center"/>
              <w:rPr>
                <w:rFonts w:hint="default" w:ascii="Times New Roman" w:hAnsi="Times New Roman" w:eastAsia="宋体" w:cs="Times New Roman"/>
                <w:sz w:val="24"/>
                <w:szCs w:val="28"/>
              </w:rPr>
            </w:pPr>
            <w:r>
              <w:rPr>
                <w:rFonts w:hint="default" w:ascii="Times New Roman" w:hAnsi="Times New Roman" w:eastAsia="宋体" w:cs="Times New Roman"/>
                <w:sz w:val="24"/>
                <w:szCs w:val="28"/>
              </w:rPr>
              <w:t xml:space="preserve">监测参数</w:t>
            </w:r>
            <w:r/>
          </w:p>
        </w:tc>
        <w:tc>
          <w:tcPr>
            <w:tcBorders>
              <w:top w:val="single" w:color="auto" w:sz="4" w:space="0"/>
              <w:left w:val="single" w:color="auto" w:sz="4" w:space="0"/>
              <w:bottom w:val="single" w:color="auto" w:sz="4" w:space="0"/>
              <w:right w:val="single" w:color="auto" w:sz="4" w:space="0"/>
            </w:tcBorders>
            <w:tcW w:w="6174" w:type="dxa"/>
            <w:vAlign w:val="center"/>
            <w:textDirection w:val="lrTb"/>
            <w:noWrap w:val="false"/>
          </w:tcPr>
          <w:p>
            <w:pPr>
              <w:pStyle w:val="1087"/>
              <w:ind w:firstLine="0"/>
              <w:jc w:val="center"/>
              <w:rPr>
                <w:rFonts w:hint="default" w:ascii="Times New Roman" w:hAnsi="Times New Roman" w:eastAsia="宋体" w:cs="Times New Roman"/>
                <w:sz w:val="24"/>
                <w:szCs w:val="28"/>
                <w:lang w:val="en-US" w:eastAsia="zh-CN"/>
              </w:rPr>
            </w:pPr>
            <w:r>
              <w:rPr>
                <w:rFonts w:hint="eastAsia" w:ascii="Times New Roman" w:hAnsi="Times New Roman" w:eastAsia="宋体" w:cs="Times New Roman"/>
                <w:sz w:val="24"/>
                <w:szCs w:val="28"/>
                <w:lang w:val="en-US" w:eastAsia="zh-CN"/>
              </w:rPr>
              <w:t xml:space="preserve">叶绿素、藻密度、</w:t>
            </w:r>
            <w:r>
              <w:rPr>
                <w:rFonts w:hint="eastAsia" w:ascii="Times New Roman" w:hAnsi="Times New Roman" w:eastAsia="宋体" w:cs="仿宋_GB2312"/>
                <w:i w:val="0"/>
                <w:iCs w:val="0"/>
                <w:color w:val="000000"/>
                <w:sz w:val="24"/>
                <w:szCs w:val="21"/>
                <w:u w:val="none"/>
                <w:lang w:val="en-US" w:eastAsia="zh-CN"/>
              </w:rPr>
              <w:t xml:space="preserve">风速、风向、气温、气压参数指标</w:t>
            </w:r>
            <w:r/>
          </w:p>
        </w:tc>
      </w:tr>
      <w:tr>
        <w:trPr>
          <w:jc w:val="center"/>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87"/>
              <w:ind w:firstLine="0"/>
              <w:jc w:val="center"/>
              <w:rPr>
                <w:rFonts w:hint="default" w:ascii="Times New Roman" w:hAnsi="Times New Roman" w:eastAsia="宋体" w:cs="Times New Roman"/>
                <w:sz w:val="24"/>
                <w:szCs w:val="28"/>
              </w:rPr>
            </w:pPr>
            <w:r>
              <w:rPr>
                <w:rFonts w:hint="default" w:ascii="Times New Roman" w:hAnsi="Times New Roman" w:eastAsia="宋体" w:cs="Times New Roman"/>
                <w:sz w:val="24"/>
                <w:szCs w:val="28"/>
              </w:rPr>
              <w:t xml:space="preserve">进样方式</w:t>
            </w:r>
            <w:r/>
          </w:p>
        </w:tc>
        <w:tc>
          <w:tcPr>
            <w:tcBorders>
              <w:top w:val="single" w:color="auto" w:sz="4" w:space="0"/>
              <w:left w:val="single" w:color="auto" w:sz="4" w:space="0"/>
              <w:bottom w:val="single" w:color="auto" w:sz="4" w:space="0"/>
              <w:right w:val="single" w:color="auto" w:sz="4" w:space="0"/>
            </w:tcBorders>
            <w:tcW w:w="6174" w:type="dxa"/>
            <w:vAlign w:val="center"/>
            <w:textDirection w:val="lrTb"/>
            <w:noWrap w:val="false"/>
          </w:tcPr>
          <w:p>
            <w:pPr>
              <w:pStyle w:val="1087"/>
              <w:ind w:firstLine="0"/>
              <w:jc w:val="center"/>
              <w:rPr>
                <w:rFonts w:hint="default" w:ascii="Times New Roman" w:hAnsi="Times New Roman" w:eastAsia="宋体" w:cs="Times New Roman"/>
                <w:sz w:val="24"/>
                <w:szCs w:val="28"/>
              </w:rPr>
            </w:pPr>
            <w:r>
              <w:rPr>
                <w:rFonts w:hint="default" w:ascii="Times New Roman" w:hAnsi="Times New Roman" w:eastAsia="宋体" w:cs="Times New Roman"/>
                <w:sz w:val="24"/>
                <w:szCs w:val="28"/>
              </w:rPr>
              <w:t xml:space="preserve">自动进样</w:t>
            </w:r>
            <w:r/>
          </w:p>
        </w:tc>
      </w:tr>
      <w:tr>
        <w:trPr>
          <w:jc w:val="center"/>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87"/>
              <w:ind w:firstLine="0"/>
              <w:jc w:val="center"/>
              <w:rPr>
                <w:rFonts w:hint="default" w:ascii="Times New Roman" w:hAnsi="Times New Roman" w:eastAsia="宋体" w:cs="Times New Roman"/>
                <w:sz w:val="24"/>
                <w:szCs w:val="28"/>
              </w:rPr>
            </w:pPr>
            <w:r>
              <w:rPr>
                <w:rFonts w:hint="default" w:ascii="Times New Roman" w:hAnsi="Times New Roman" w:eastAsia="宋体" w:cs="Times New Roman"/>
                <w:sz w:val="24"/>
                <w:szCs w:val="28"/>
              </w:rPr>
              <w:t xml:space="preserve">供电方式</w:t>
            </w:r>
            <w:r/>
          </w:p>
        </w:tc>
        <w:tc>
          <w:tcPr>
            <w:tcBorders>
              <w:top w:val="single" w:color="auto" w:sz="4" w:space="0"/>
              <w:left w:val="single" w:color="auto" w:sz="4" w:space="0"/>
              <w:bottom w:val="single" w:color="auto" w:sz="4" w:space="0"/>
              <w:right w:val="single" w:color="auto" w:sz="4" w:space="0"/>
            </w:tcBorders>
            <w:tcW w:w="6174" w:type="dxa"/>
            <w:vAlign w:val="center"/>
            <w:textDirection w:val="lrTb"/>
            <w:noWrap w:val="false"/>
          </w:tcPr>
          <w:p>
            <w:pPr>
              <w:pStyle w:val="1087"/>
              <w:ind w:firstLine="0"/>
              <w:jc w:val="center"/>
              <w:rPr>
                <w:rFonts w:hint="default" w:ascii="Times New Roman" w:hAnsi="Times New Roman" w:eastAsia="宋体" w:cs="Times New Roman"/>
                <w:sz w:val="24"/>
                <w:szCs w:val="28"/>
              </w:rPr>
            </w:pPr>
            <w:r>
              <w:rPr>
                <w:rFonts w:hint="default" w:ascii="Times New Roman" w:hAnsi="Times New Roman" w:eastAsia="宋体" w:cs="Times New Roman"/>
                <w:sz w:val="24"/>
                <w:szCs w:val="28"/>
              </w:rPr>
              <w:t xml:space="preserve">太阳能</w:t>
            </w:r>
            <w:r/>
          </w:p>
        </w:tc>
      </w:tr>
    </w:tbl>
    <w:p>
      <w:pPr>
        <w:ind w:firstLine="482"/>
        <w:keepLines w:val="0"/>
        <w:keepNext w:val="0"/>
        <w:pageBreakBefore w:val="0"/>
        <w:spacing w:line="560" w:lineRule="exact"/>
        <w:widowControl w:val="off"/>
        <w:rPr>
          <w:rFonts w:hint="default" w:ascii="Times New Roman" w:hAnsi="Times New Roman" w:eastAsia="宋体" w:cs="宋体"/>
          <w:b/>
          <w:bCs/>
          <w:sz w:val="24"/>
          <w:szCs w:val="21"/>
          <w:lang w:val="en-US" w:eastAsia="zh-CN"/>
        </w:rPr>
        <w:outlineLvl w:val="1"/>
      </w:pPr>
      <w:r>
        <w:rPr>
          <w:rFonts w:hint="eastAsia" w:ascii="Times New Roman" w:hAnsi="Times New Roman" w:eastAsia="宋体" w:cs="宋体"/>
          <w:b/>
          <w:bCs/>
          <w:sz w:val="24"/>
          <w:szCs w:val="21"/>
          <w:lang w:val="en-US" w:eastAsia="zh-CN"/>
        </w:rPr>
        <w:t xml:space="preserve">（四）全自动多通道水质分析仪技术要求</w:t>
      </w:r>
      <w:r/>
    </w:p>
    <w:p>
      <w:pPr>
        <w:numPr>
          <w:ilvl w:val="0"/>
          <w:numId w:val="0"/>
        </w:numPr>
        <w:ind w:firstLine="510"/>
        <w:jc w:val="both"/>
        <w:keepLines w:val="0"/>
        <w:keepNext w:val="0"/>
        <w:pageBreakBefore w:val="0"/>
        <w:spacing w:line="560" w:lineRule="exact"/>
        <w:widowControl w:val="off"/>
        <w:rPr>
          <w:rFonts w:hint="eastAsia" w:ascii="Times New Roman" w:hAnsi="Times New Roman" w:eastAsia="宋体" w:cs="宋体"/>
          <w:b/>
          <w:bCs/>
          <w:spacing w:val="7"/>
          <w:sz w:val="24"/>
          <w:szCs w:val="23"/>
          <w:lang w:val="en-US" w:eastAsia="zh-CN"/>
        </w:rPr>
        <w:outlineLvl w:val="2"/>
      </w:pPr>
      <w:r>
        <w:rPr>
          <w:rFonts w:hint="eastAsia" w:ascii="Times New Roman" w:hAnsi="Times New Roman" w:eastAsia="宋体" w:cs="宋体"/>
          <w:b/>
          <w:bCs/>
          <w:spacing w:val="7"/>
          <w:sz w:val="24"/>
          <w:szCs w:val="23"/>
          <w:lang w:val="en-US" w:eastAsia="zh-CN"/>
        </w:rPr>
        <w:t xml:space="preserve">1、系统技术要求</w:t>
      </w:r>
      <w:r/>
    </w:p>
    <w:p>
      <w:pPr>
        <w:pStyle w:val="779"/>
        <w:ind w:firstLine="480"/>
        <w:keepLines w:val="0"/>
        <w:keepNext w:val="0"/>
        <w:pageBreakBefore w:val="0"/>
        <w:spacing w:line="360" w:lineRule="auto"/>
        <w:widowControl w:val="off"/>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w:t>
      </w:r>
      <w:r>
        <w:rPr>
          <w:rFonts w:hint="default" w:ascii="Times New Roman" w:hAnsi="Times New Roman" w:eastAsia="宋体"/>
          <w:sz w:val="24"/>
          <w:szCs w:val="24"/>
          <w:lang w:val="en-US" w:eastAsia="zh-CN"/>
        </w:rPr>
        <w:t xml:space="preserve">能自动标定分析模块的工作曲线</w:t>
      </w:r>
      <w:r>
        <w:rPr>
          <w:rFonts w:hint="eastAsia" w:ascii="Times New Roman" w:hAnsi="Times New Roman" w:eastAsia="宋体"/>
          <w:sz w:val="24"/>
          <w:szCs w:val="24"/>
          <w:lang w:val="en-US" w:eastAsia="zh-CN"/>
        </w:rPr>
        <w:t xml:space="preserve">；</w:t>
      </w:r>
      <w:r/>
    </w:p>
    <w:p>
      <w:pPr>
        <w:ind w:firstLine="480"/>
        <w:jc w:val="both"/>
        <w:keepLines w:val="0"/>
        <w:keepNext w:val="0"/>
        <w:pageBreakBefore w:val="0"/>
        <w:spacing w:after="120" w:line="360" w:lineRule="auto"/>
        <w:widowControl w:val="off"/>
        <w:rPr>
          <w:rFonts w:hint="default" w:ascii="Times New Roman" w:hAnsi="Times New Roman" w:eastAsia="宋体" w:cs="Times New Roman"/>
          <w:b w:val="0"/>
          <w:bCs w:val="0"/>
          <w:sz w:val="24"/>
          <w:szCs w:val="24"/>
          <w:lang w:val="en-US" w:eastAsia="zh-CN" w:bidi="ar-SA"/>
        </w:rPr>
      </w:pPr>
      <w:r>
        <w:rPr>
          <w:rFonts w:hint="eastAsia" w:ascii="Times New Roman" w:hAnsi="Times New Roman" w:eastAsia="宋体" w:cs="宋体"/>
          <w:b w:val="0"/>
          <w:bCs w:val="0"/>
          <w:sz w:val="24"/>
          <w:szCs w:val="24"/>
          <w:lang w:val="en-US" w:eastAsia="zh-CN" w:bidi="ar-SA"/>
        </w:rPr>
        <w:t xml:space="preserve">▲</w:t>
      </w:r>
      <w:r>
        <w:rPr>
          <w:rFonts w:hint="eastAsia" w:ascii="Times New Roman" w:hAnsi="Times New Roman" w:eastAsia="宋体" w:cs="Times New Roman"/>
          <w:b w:val="0"/>
          <w:bCs w:val="0"/>
          <w:sz w:val="24"/>
          <w:szCs w:val="24"/>
          <w:lang w:val="en-US" w:eastAsia="zh-CN" w:bidi="ar-SA"/>
        </w:rPr>
        <w:t xml:space="preserve">（2）</w:t>
      </w:r>
      <w:r>
        <w:rPr>
          <w:rFonts w:hint="default" w:ascii="Times New Roman" w:hAnsi="Times New Roman" w:eastAsia="宋体" w:cs="Times New Roman"/>
          <w:b w:val="0"/>
          <w:bCs w:val="0"/>
          <w:sz w:val="24"/>
          <w:szCs w:val="24"/>
          <w:lang w:val="en-US" w:eastAsia="zh-CN" w:bidi="ar-SA"/>
        </w:rPr>
        <w:t xml:space="preserve">具备完整的实验室全过程质控功能，每批次水样加入质控，能加入空白样、平行样、加标回收样，保证数据的科学性和准确性</w:t>
      </w:r>
      <w:r>
        <w:rPr>
          <w:rFonts w:hint="eastAsia" w:ascii="Times New Roman" w:hAnsi="Times New Roman" w:eastAsia="宋体" w:cs="Times New Roman"/>
          <w:b w:val="0"/>
          <w:bCs w:val="0"/>
          <w:sz w:val="24"/>
          <w:szCs w:val="24"/>
          <w:lang w:val="en-US" w:eastAsia="zh-CN" w:bidi="ar-SA"/>
        </w:rPr>
        <w:t xml:space="preserve">；</w:t>
      </w:r>
      <w:r/>
    </w:p>
    <w:p>
      <w:pPr>
        <w:pStyle w:val="779"/>
        <w:ind w:firstLine="480"/>
        <w:keepLines w:val="0"/>
        <w:keepNext w:val="0"/>
        <w:pageBreakBefore w:val="0"/>
        <w:spacing w:line="360" w:lineRule="auto"/>
        <w:widowControl w:val="off"/>
        <w:rPr>
          <w:rFonts w:hint="default" w:ascii="Times New Roman" w:hAnsi="Times New Roman" w:eastAsia="宋体"/>
          <w:b w:val="0"/>
          <w:bCs w:val="0"/>
          <w:sz w:val="24"/>
          <w:szCs w:val="24"/>
          <w:lang w:val="en-US" w:eastAsia="zh-CN"/>
        </w:rPr>
      </w:pPr>
      <w:r>
        <w:rPr>
          <w:rFonts w:hint="eastAsia" w:ascii="Times New Roman" w:hAnsi="Times New Roman" w:eastAsia="宋体" w:cs="宋体"/>
          <w:b w:val="0"/>
          <w:bCs w:val="0"/>
          <w:sz w:val="24"/>
          <w:szCs w:val="24"/>
        </w:rPr>
        <w:t xml:space="preserve">▲</w:t>
      </w:r>
      <w:r>
        <w:rPr>
          <w:rFonts w:hint="eastAsia" w:ascii="Times New Roman" w:hAnsi="Times New Roman" w:eastAsia="宋体"/>
          <w:b w:val="0"/>
          <w:bCs w:val="0"/>
          <w:sz w:val="24"/>
          <w:szCs w:val="24"/>
          <w:lang w:val="en-US" w:eastAsia="zh-CN"/>
        </w:rPr>
        <w:t xml:space="preserve">（3）</w:t>
      </w:r>
      <w:r>
        <w:rPr>
          <w:rFonts w:hint="default" w:ascii="Times New Roman" w:hAnsi="Times New Roman" w:eastAsia="宋体"/>
          <w:b w:val="0"/>
          <w:bCs w:val="0"/>
          <w:sz w:val="24"/>
          <w:szCs w:val="24"/>
          <w:lang w:val="en-US" w:eastAsia="zh-CN"/>
        </w:rPr>
        <w:t xml:space="preserve">具有批量样品编辑、一键启动测试、数据查询、报告打印功能</w:t>
      </w:r>
      <w:r>
        <w:rPr>
          <w:rFonts w:hint="eastAsia" w:ascii="Times New Roman" w:hAnsi="Times New Roman" w:eastAsia="宋体"/>
          <w:b w:val="0"/>
          <w:bCs w:val="0"/>
          <w:sz w:val="24"/>
          <w:szCs w:val="24"/>
          <w:lang w:val="en-US" w:eastAsia="zh-CN"/>
        </w:rPr>
        <w:t xml:space="preserve">；</w:t>
      </w:r>
      <w:r/>
    </w:p>
    <w:p>
      <w:pPr>
        <w:pStyle w:val="779"/>
        <w:ind w:firstLine="480"/>
        <w:keepLines w:val="0"/>
        <w:keepNext w:val="0"/>
        <w:pageBreakBefore w:val="0"/>
        <w:spacing w:line="360" w:lineRule="auto"/>
        <w:widowControl w:val="off"/>
        <w:rPr>
          <w:rFonts w:hint="default" w:ascii="Times New Roman" w:hAnsi="Times New Roman" w:eastAsia="宋体"/>
          <w:b w:val="0"/>
          <w:bCs w:val="0"/>
          <w:sz w:val="24"/>
          <w:szCs w:val="24"/>
          <w:lang w:val="en-US" w:eastAsia="zh-CN"/>
        </w:rPr>
      </w:pPr>
      <w:r>
        <w:rPr>
          <w:rFonts w:hint="eastAsia" w:ascii="Times New Roman" w:hAnsi="Times New Roman" w:eastAsia="宋体" w:cs="宋体"/>
          <w:b w:val="0"/>
          <w:bCs w:val="0"/>
          <w:sz w:val="24"/>
          <w:szCs w:val="24"/>
        </w:rPr>
        <w:t xml:space="preserve">▲</w:t>
      </w:r>
      <w:r>
        <w:rPr>
          <w:rFonts w:hint="eastAsia" w:ascii="Times New Roman" w:hAnsi="Times New Roman" w:eastAsia="宋体"/>
          <w:b w:val="0"/>
          <w:bCs w:val="0"/>
          <w:sz w:val="24"/>
          <w:szCs w:val="24"/>
          <w:lang w:val="en-US" w:eastAsia="zh-CN"/>
        </w:rPr>
        <w:t xml:space="preserve">（4）</w:t>
      </w:r>
      <w:r>
        <w:rPr>
          <w:rFonts w:hint="default" w:ascii="Times New Roman" w:hAnsi="Times New Roman" w:eastAsia="宋体"/>
          <w:b w:val="0"/>
          <w:bCs w:val="0"/>
          <w:sz w:val="24"/>
          <w:szCs w:val="24"/>
          <w:lang w:val="en-US" w:eastAsia="zh-CN"/>
        </w:rPr>
        <w:t xml:space="preserve">进样前自动混匀待测样品，进样完成之后能够自动清洗进样管路</w:t>
      </w:r>
      <w:r>
        <w:rPr>
          <w:rFonts w:hint="eastAsia" w:ascii="Times New Roman" w:hAnsi="Times New Roman" w:eastAsia="宋体"/>
          <w:b w:val="0"/>
          <w:bCs w:val="0"/>
          <w:sz w:val="24"/>
          <w:szCs w:val="24"/>
          <w:lang w:val="en-US" w:eastAsia="zh-CN"/>
        </w:rPr>
        <w:t xml:space="preserve">；</w:t>
      </w:r>
      <w:r/>
    </w:p>
    <w:p>
      <w:pPr>
        <w:pStyle w:val="779"/>
        <w:ind w:firstLine="480"/>
        <w:keepLines w:val="0"/>
        <w:keepNext w:val="0"/>
        <w:pageBreakBefore w:val="0"/>
        <w:spacing w:line="360" w:lineRule="auto"/>
        <w:widowControl w:val="off"/>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w:t>
      </w:r>
      <w:r>
        <w:rPr>
          <w:rFonts w:hint="default" w:ascii="Times New Roman" w:hAnsi="Times New Roman" w:eastAsia="宋体"/>
          <w:sz w:val="24"/>
          <w:szCs w:val="24"/>
          <w:lang w:val="en-US" w:eastAsia="zh-CN"/>
        </w:rPr>
        <w:t xml:space="preserve">采用数字光电计量传感器进行计量，具有光电自平衡功能，不与试剂直接接触</w:t>
      </w:r>
      <w:r>
        <w:rPr>
          <w:rFonts w:hint="eastAsia" w:ascii="Times New Roman" w:hAnsi="Times New Roman" w:eastAsia="宋体"/>
          <w:sz w:val="24"/>
          <w:szCs w:val="24"/>
          <w:lang w:val="en-US" w:eastAsia="zh-CN"/>
        </w:rPr>
        <w:t xml:space="preserve">；</w:t>
      </w:r>
      <w:r/>
    </w:p>
    <w:p>
      <w:pPr>
        <w:pStyle w:val="779"/>
        <w:ind w:firstLine="480"/>
        <w:keepLines w:val="0"/>
        <w:keepNext w:val="0"/>
        <w:pageBreakBefore w:val="0"/>
        <w:spacing w:line="360" w:lineRule="auto"/>
        <w:widowControl w:val="off"/>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（6）</w:t>
      </w:r>
      <w:r>
        <w:rPr>
          <w:rFonts w:hint="default" w:ascii="Times New Roman" w:hAnsi="Times New Roman" w:eastAsia="宋体"/>
          <w:sz w:val="24"/>
          <w:szCs w:val="24"/>
          <w:lang w:val="en-US" w:eastAsia="zh-CN"/>
        </w:rPr>
        <w:t xml:space="preserve">具有通讯故障、电机故障、废液溢出、缺纯水等报警功能</w:t>
      </w:r>
      <w:r>
        <w:rPr>
          <w:rFonts w:hint="eastAsia" w:ascii="Times New Roman" w:hAnsi="Times New Roman" w:eastAsia="宋体"/>
          <w:sz w:val="24"/>
          <w:szCs w:val="24"/>
          <w:lang w:val="en-US" w:eastAsia="zh-CN"/>
        </w:rPr>
        <w:t xml:space="preserve">；</w:t>
      </w:r>
      <w:r/>
    </w:p>
    <w:p>
      <w:pPr>
        <w:pStyle w:val="779"/>
        <w:ind w:firstLine="480"/>
        <w:keepLines w:val="0"/>
        <w:keepNext w:val="0"/>
        <w:pageBreakBefore w:val="0"/>
        <w:spacing w:line="360" w:lineRule="auto"/>
        <w:widowControl w:val="off"/>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（7）</w:t>
      </w:r>
      <w:r>
        <w:rPr>
          <w:rFonts w:hint="default" w:ascii="Times New Roman" w:hAnsi="Times New Roman" w:eastAsia="宋体"/>
          <w:sz w:val="24"/>
          <w:szCs w:val="24"/>
          <w:lang w:val="en-US" w:eastAsia="zh-CN"/>
        </w:rPr>
        <w:t xml:space="preserve">具备一键自动清洗功能及断电、故障恢复初始化功能</w:t>
      </w:r>
      <w:r>
        <w:rPr>
          <w:rFonts w:hint="eastAsia" w:ascii="Times New Roman" w:hAnsi="Times New Roman" w:eastAsia="宋体"/>
          <w:sz w:val="24"/>
          <w:szCs w:val="24"/>
          <w:lang w:val="en-US" w:eastAsia="zh-CN"/>
        </w:rPr>
        <w:t xml:space="preserve">。</w:t>
      </w:r>
      <w:r/>
    </w:p>
    <w:p>
      <w:pPr>
        <w:numPr>
          <w:ilvl w:val="0"/>
          <w:numId w:val="0"/>
        </w:numPr>
        <w:ind w:firstLine="510"/>
        <w:jc w:val="both"/>
        <w:keepLines w:val="0"/>
        <w:keepNext w:val="0"/>
        <w:pageBreakBefore w:val="0"/>
        <w:spacing w:line="560" w:lineRule="exact"/>
        <w:widowControl w:val="off"/>
        <w:rPr>
          <w:rFonts w:hint="eastAsia" w:ascii="Times New Roman" w:hAnsi="Times New Roman" w:eastAsia="宋体" w:cs="宋体"/>
          <w:b/>
          <w:bCs/>
          <w:spacing w:val="7"/>
          <w:sz w:val="24"/>
          <w:szCs w:val="23"/>
          <w:lang w:val="en-US" w:eastAsia="zh-CN"/>
        </w:rPr>
        <w:outlineLvl w:val="2"/>
      </w:pPr>
      <w:r>
        <w:rPr>
          <w:rFonts w:hint="eastAsia" w:ascii="Times New Roman" w:hAnsi="Times New Roman" w:eastAsia="宋体" w:cs="宋体"/>
          <w:b/>
          <w:bCs/>
          <w:spacing w:val="7"/>
          <w:sz w:val="24"/>
          <w:szCs w:val="23"/>
          <w:lang w:val="en-US" w:eastAsia="zh-CN"/>
        </w:rPr>
        <w:t xml:space="preserve">2、高锰酸盐指数分析模块技术要求</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2"/>
        <w:gridCol w:w="4274"/>
      </w:tblGrid>
      <w:tr>
        <w:trPr>
          <w:trHeight w:val="48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w:t>
            </w:r>
            <w:r>
              <w:rPr>
                <w:rFonts w:hint="default" w:ascii="Times New Roman" w:hAnsi="Times New Roman" w:eastAsia="宋体" w:cs="Times New Roman"/>
                <w:color w:val="000000"/>
                <w:sz w:val="24"/>
                <w:szCs w:val="20"/>
                <w:lang w:val="en-US" w:eastAsia="zh-CN"/>
              </w:rPr>
              <w:t xml:space="preserve">   </w:t>
            </w:r>
            <w:r>
              <w:rPr>
                <w:rFonts w:hint="eastAsia" w:ascii="Times New Roman" w:hAnsi="Times New Roman" w:eastAsia="宋体" w:cs="宋体"/>
                <w:color w:val="000000"/>
                <w:sz w:val="24"/>
                <w:szCs w:val="20"/>
                <w:lang w:val="en-US" w:eastAsia="zh-CN"/>
              </w:rPr>
              <w:t xml:space="preserve">目</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技术指标</w:t>
            </w:r>
            <w:r/>
          </w:p>
        </w:tc>
      </w:tr>
      <w:tr>
        <w:trPr>
          <w:trHeight w:val="416"/>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高锰酸钾氧化滴定法</w:t>
            </w:r>
            <w:r/>
          </w:p>
        </w:tc>
      </w:tr>
      <w:tr>
        <w:trPr>
          <w:trHeight w:val="19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测定范围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4"/>
                <w:szCs w:val="20"/>
                <w:lang w:val="en-US" w:eastAsia="zh-CN"/>
              </w:rPr>
              <w:t xml:space="preserve">0</w:t>
            </w:r>
            <w:r>
              <w:rPr>
                <w:rFonts w:hint="eastAsia" w:ascii="Times New Roman" w:hAnsi="Times New Roman" w:eastAsia="宋体" w:cs="Times New Roman"/>
                <w:color w:val="000000"/>
                <w:sz w:val="24"/>
                <w:szCs w:val="20"/>
                <w:lang w:val="en-US" w:eastAsia="zh-CN"/>
              </w:rPr>
              <w:t xml:space="preserve">.5</w:t>
            </w:r>
            <w:r>
              <w:rPr>
                <w:rFonts w:hint="default" w:ascii="Times New Roman" w:hAnsi="Times New Roman" w:eastAsia="宋体" w:cs="Times New Roman"/>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10</w:t>
            </w:r>
            <w:r>
              <w:rPr>
                <w:rFonts w:hint="default" w:ascii="Times New Roman" w:hAnsi="Times New Roman" w:eastAsia="宋体" w:cs="Times New Roman"/>
                <w:color w:val="000000"/>
                <w:sz w:val="24"/>
                <w:szCs w:val="20"/>
                <w:lang w:val="en-US" w:eastAsia="zh-CN"/>
              </w:rPr>
              <w:t xml:space="preserve">mg/L</w:t>
            </w:r>
            <w:r>
              <w:rPr>
                <w:rFonts w:hint="eastAsia" w:ascii="Times New Roman" w:hAnsi="Times New Roman" w:eastAsia="宋体" w:cs="宋体"/>
                <w:color w:val="000000"/>
                <w:sz w:val="24"/>
                <w:szCs w:val="20"/>
                <w:lang w:val="en-US" w:eastAsia="zh-CN"/>
              </w:rPr>
              <w:t xml:space="preserve">（可扩展）</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准确度</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1</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重复性</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1</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最低检测质量浓度</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0.5</w:t>
            </w:r>
            <w:r>
              <w:rPr>
                <w:rFonts w:hint="default" w:ascii="Times New Roman" w:hAnsi="Times New Roman" w:eastAsia="宋体" w:cs="Times New Roman"/>
                <w:color w:val="000000"/>
                <w:sz w:val="24"/>
                <w:szCs w:val="20"/>
                <w:lang w:val="en-US" w:eastAsia="zh-CN"/>
              </w:rPr>
              <w:t xml:space="preserve">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加标回收率</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100%-120%</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葡萄糖试验</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±5</w:t>
            </w:r>
            <w:r>
              <w:rPr>
                <w:rFonts w:hint="default" w:ascii="Times New Roman" w:hAnsi="Times New Roman" w:eastAsia="宋体" w:cs="宋体"/>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最小滴定体积</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20</w:t>
            </w:r>
            <w:r>
              <w:rPr>
                <w:rFonts w:hint="default" w:ascii="Times New Roman" w:hAnsi="Times New Roman" w:eastAsia="宋体" w:cs="Times New Roman"/>
                <w:color w:val="000000"/>
                <w:sz w:val="24"/>
                <w:szCs w:val="20"/>
                <w:lang w:val="en-US" w:eastAsia="zh-CN"/>
              </w:rPr>
              <w:t xml:space="preserve">μ</w:t>
            </w:r>
            <w:r>
              <w:rPr>
                <w:rFonts w:hint="eastAsia" w:ascii="Times New Roman" w:hAnsi="Times New Roman" w:eastAsia="宋体" w:cs="Times New Roman"/>
                <w:color w:val="000000"/>
                <w:sz w:val="24"/>
                <w:szCs w:val="20"/>
                <w:lang w:val="en-US" w:eastAsia="zh-CN"/>
              </w:rPr>
              <w:t xml:space="preserve">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实际水样比对试验</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10%</w:t>
            </w:r>
            <w:r/>
          </w:p>
        </w:tc>
      </w:tr>
    </w:tbl>
    <w:p>
      <w:pPr>
        <w:numPr>
          <w:ilvl w:val="0"/>
          <w:numId w:val="0"/>
        </w:numPr>
        <w:ind w:firstLine="510"/>
        <w:jc w:val="both"/>
        <w:keepLines w:val="0"/>
        <w:keepNext w:val="0"/>
        <w:pageBreakBefore w:val="0"/>
        <w:spacing w:line="560" w:lineRule="exact"/>
        <w:widowControl w:val="off"/>
        <w:rPr>
          <w:rFonts w:hint="eastAsia" w:ascii="Times New Roman" w:hAnsi="Times New Roman" w:eastAsia="宋体" w:cs="宋体"/>
          <w:b/>
          <w:bCs/>
          <w:spacing w:val="7"/>
          <w:sz w:val="24"/>
          <w:szCs w:val="23"/>
          <w:lang w:val="en-US" w:eastAsia="zh-CN"/>
        </w:rPr>
        <w:outlineLvl w:val="2"/>
      </w:pPr>
      <w:r>
        <w:rPr>
          <w:rFonts w:hint="eastAsia" w:ascii="Times New Roman" w:hAnsi="Times New Roman" w:eastAsia="宋体" w:cs="宋体"/>
          <w:b/>
          <w:bCs/>
          <w:spacing w:val="7"/>
          <w:sz w:val="24"/>
          <w:szCs w:val="23"/>
          <w:lang w:val="en-US" w:eastAsia="zh-CN"/>
        </w:rPr>
        <w:t xml:space="preserve">3、化学需氧量分析模块技术要求</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2"/>
        <w:gridCol w:w="4274"/>
      </w:tblGrid>
      <w:tr>
        <w:trPr>
          <w:trHeight w:val="48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w:t>
            </w:r>
            <w:r>
              <w:rPr>
                <w:rFonts w:hint="default" w:ascii="Times New Roman" w:hAnsi="Times New Roman" w:eastAsia="宋体" w:cs="Times New Roman"/>
                <w:color w:val="000000"/>
                <w:sz w:val="24"/>
                <w:szCs w:val="20"/>
                <w:lang w:val="en-US" w:eastAsia="zh-CN"/>
              </w:rPr>
              <w:t xml:space="preserve">   </w:t>
            </w:r>
            <w:r>
              <w:rPr>
                <w:rFonts w:hint="eastAsia" w:ascii="Times New Roman" w:hAnsi="Times New Roman" w:eastAsia="宋体" w:cs="宋体"/>
                <w:color w:val="000000"/>
                <w:sz w:val="24"/>
                <w:szCs w:val="20"/>
                <w:lang w:val="en-US" w:eastAsia="zh-CN"/>
              </w:rPr>
              <w:t xml:space="preserve">目</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技术指标</w:t>
            </w:r>
            <w:r/>
          </w:p>
        </w:tc>
      </w:tr>
      <w:tr>
        <w:trPr>
          <w:trHeight w:val="416"/>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重铬酸钾氧化分光光度法</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测定范围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4-150</w:t>
            </w:r>
            <w:r>
              <w:rPr>
                <w:rFonts w:hint="default" w:ascii="Times New Roman" w:hAnsi="Times New Roman" w:eastAsia="宋体" w:cs="Times New Roman"/>
                <w:color w:val="000000"/>
                <w:sz w:val="24"/>
                <w:szCs w:val="20"/>
                <w:lang w:val="en-US" w:eastAsia="zh-CN"/>
              </w:rPr>
              <w:t xml:space="preserve">mg/L</w:t>
            </w:r>
            <w:r>
              <w:rPr>
                <w:rFonts w:hint="eastAsia" w:ascii="Times New Roman" w:hAnsi="Times New Roman" w:eastAsia="宋体" w:cs="宋体"/>
                <w:color w:val="000000"/>
                <w:sz w:val="24"/>
                <w:szCs w:val="20"/>
                <w:lang w:val="en-US" w:eastAsia="zh-CN"/>
              </w:rPr>
              <w:t xml:space="preserve">（可扩展）</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准确度</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8</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重复性</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1</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检出限</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4</w:t>
            </w:r>
            <w:r>
              <w:rPr>
                <w:rFonts w:hint="default" w:ascii="Times New Roman" w:hAnsi="Times New Roman" w:eastAsia="宋体" w:cs="Times New Roman"/>
                <w:color w:val="000000"/>
                <w:sz w:val="24"/>
                <w:szCs w:val="20"/>
                <w:lang w:val="en-US" w:eastAsia="zh-CN"/>
              </w:rPr>
              <w:t xml:space="preserve">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加标回收率</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100%-120%</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线性相关系数</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R≥0.999</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实际水样比对试验</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10%</w:t>
            </w:r>
            <w:r/>
          </w:p>
        </w:tc>
      </w:tr>
    </w:tbl>
    <w:p>
      <w:pPr>
        <w:numPr>
          <w:ilvl w:val="0"/>
          <w:numId w:val="0"/>
        </w:numPr>
        <w:ind w:firstLine="510"/>
        <w:jc w:val="both"/>
        <w:keepLines w:val="0"/>
        <w:keepNext w:val="0"/>
        <w:pageBreakBefore w:val="0"/>
        <w:spacing w:line="560" w:lineRule="exact"/>
        <w:widowControl w:val="off"/>
        <w:rPr>
          <w:rFonts w:hint="eastAsia" w:ascii="Times New Roman" w:hAnsi="Times New Roman" w:eastAsia="宋体" w:cs="宋体"/>
          <w:b/>
          <w:bCs/>
          <w:spacing w:val="7"/>
          <w:sz w:val="24"/>
          <w:szCs w:val="23"/>
          <w:lang w:val="en-US" w:eastAsia="zh-CN"/>
        </w:rPr>
        <w:outlineLvl w:val="2"/>
      </w:pPr>
      <w:r>
        <w:rPr>
          <w:rFonts w:hint="eastAsia" w:ascii="Times New Roman" w:hAnsi="Times New Roman" w:eastAsia="宋体" w:cs="宋体"/>
          <w:b/>
          <w:bCs/>
          <w:spacing w:val="7"/>
          <w:sz w:val="24"/>
          <w:szCs w:val="23"/>
          <w:lang w:val="en-US" w:eastAsia="zh-CN"/>
        </w:rPr>
        <w:t xml:space="preserve">4、总磷分析模块技术要求</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2"/>
        <w:gridCol w:w="4274"/>
      </w:tblGrid>
      <w:tr>
        <w:trPr>
          <w:trHeight w:val="48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w:t>
            </w:r>
            <w:r>
              <w:rPr>
                <w:rFonts w:hint="default" w:ascii="Times New Roman" w:hAnsi="Times New Roman" w:eastAsia="宋体" w:cs="Times New Roman"/>
                <w:color w:val="000000"/>
                <w:sz w:val="24"/>
                <w:szCs w:val="20"/>
                <w:lang w:val="en-US" w:eastAsia="zh-CN"/>
              </w:rPr>
              <w:t xml:space="preserve">   </w:t>
            </w:r>
            <w:r>
              <w:rPr>
                <w:rFonts w:hint="eastAsia" w:ascii="Times New Roman" w:hAnsi="Times New Roman" w:eastAsia="宋体" w:cs="宋体"/>
                <w:color w:val="000000"/>
                <w:sz w:val="24"/>
                <w:szCs w:val="20"/>
                <w:lang w:val="en-US" w:eastAsia="zh-CN"/>
              </w:rPr>
              <w:t xml:space="preserve">目</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技术指标</w:t>
            </w:r>
            <w:r/>
          </w:p>
        </w:tc>
      </w:tr>
      <w:tr>
        <w:trPr>
          <w:trHeight w:val="416"/>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钼酸铵分光光度法</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测定范围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0.01-0.5</w:t>
            </w:r>
            <w:r>
              <w:rPr>
                <w:rFonts w:hint="default" w:ascii="Times New Roman" w:hAnsi="Times New Roman" w:eastAsia="宋体" w:cs="Times New Roman"/>
                <w:color w:val="000000"/>
                <w:sz w:val="24"/>
                <w:szCs w:val="20"/>
                <w:lang w:val="en-US" w:eastAsia="zh-CN"/>
              </w:rPr>
              <w:t xml:space="preserve">mg/L</w:t>
            </w:r>
            <w:r>
              <w:rPr>
                <w:rFonts w:hint="eastAsia" w:ascii="Times New Roman" w:hAnsi="Times New Roman" w:eastAsia="宋体" w:cs="宋体"/>
                <w:color w:val="000000"/>
                <w:sz w:val="24"/>
                <w:szCs w:val="20"/>
                <w:lang w:val="en-US" w:eastAsia="zh-CN"/>
              </w:rPr>
              <w:t xml:space="preserve">（可扩展）</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准确度</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3</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重复性</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1</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检出限</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≤0.01</w:t>
            </w:r>
            <w:r>
              <w:rPr>
                <w:rFonts w:hint="default" w:ascii="Times New Roman" w:hAnsi="Times New Roman" w:eastAsia="宋体" w:cs="宋体"/>
                <w:color w:val="000000"/>
                <w:sz w:val="24"/>
                <w:szCs w:val="20"/>
                <w:lang w:val="en-US" w:eastAsia="zh-CN"/>
              </w:rPr>
              <w:t xml:space="preserve">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加标回收率</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90%-120%</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线性相关系数</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R≥0.999</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实际水样比对试验</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10%</w:t>
            </w:r>
            <w:r/>
          </w:p>
        </w:tc>
      </w:tr>
    </w:tbl>
    <w:p>
      <w:pPr>
        <w:numPr>
          <w:ilvl w:val="0"/>
          <w:numId w:val="0"/>
        </w:numPr>
        <w:ind w:firstLine="510"/>
        <w:jc w:val="both"/>
        <w:keepLines w:val="0"/>
        <w:keepNext w:val="0"/>
        <w:pageBreakBefore w:val="0"/>
        <w:spacing w:line="560" w:lineRule="exact"/>
        <w:widowControl w:val="off"/>
        <w:rPr>
          <w:rFonts w:hint="eastAsia" w:ascii="Times New Roman" w:hAnsi="Times New Roman" w:eastAsia="宋体" w:cs="宋体"/>
          <w:b/>
          <w:bCs/>
          <w:spacing w:val="7"/>
          <w:sz w:val="24"/>
          <w:szCs w:val="23"/>
          <w:lang w:val="en-US" w:eastAsia="zh-CN"/>
        </w:rPr>
        <w:outlineLvl w:val="2"/>
      </w:pPr>
      <w:r>
        <w:rPr>
          <w:rFonts w:hint="eastAsia" w:ascii="Times New Roman" w:hAnsi="Times New Roman" w:eastAsia="宋体" w:cs="宋体"/>
          <w:b/>
          <w:bCs/>
          <w:spacing w:val="7"/>
          <w:sz w:val="24"/>
          <w:szCs w:val="23"/>
          <w:lang w:val="en-US" w:eastAsia="zh-CN"/>
        </w:rPr>
        <w:t xml:space="preserve">5、总氮分析模块技术要求</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2"/>
        <w:gridCol w:w="4274"/>
      </w:tblGrid>
      <w:tr>
        <w:trPr>
          <w:trHeight w:val="48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项</w:t>
            </w:r>
            <w:r>
              <w:rPr>
                <w:rFonts w:hint="default" w:ascii="Times New Roman" w:hAnsi="Times New Roman" w:eastAsia="宋体" w:cs="Times New Roman"/>
                <w:color w:val="000000"/>
                <w:sz w:val="24"/>
                <w:szCs w:val="20"/>
                <w:highlight w:val="none"/>
                <w:lang w:val="en-US" w:eastAsia="zh-CN"/>
              </w:rPr>
              <w:t xml:space="preserve">   </w:t>
            </w:r>
            <w:r>
              <w:rPr>
                <w:rFonts w:hint="eastAsia" w:ascii="Times New Roman" w:hAnsi="Times New Roman" w:eastAsia="宋体" w:cs="宋体"/>
                <w:color w:val="000000"/>
                <w:sz w:val="24"/>
                <w:szCs w:val="20"/>
                <w:highlight w:val="none"/>
                <w:lang w:val="en-US" w:eastAsia="zh-CN"/>
              </w:rPr>
              <w:t xml:space="preserve">目</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技术指标</w:t>
            </w:r>
            <w:r/>
          </w:p>
        </w:tc>
      </w:tr>
      <w:tr>
        <w:trPr>
          <w:trHeight w:val="416"/>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highlight w:val="none"/>
                <w:lang w:val="en-US" w:eastAsia="zh-CN"/>
              </w:rPr>
              <w:t xml:space="preserve">紫外分光光度法</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测定范围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highlight w:val="none"/>
                <w:lang w:val="en-US" w:eastAsia="zh-CN"/>
              </w:rPr>
              <w:t xml:space="preserve">0.05-3</w:t>
            </w:r>
            <w:r>
              <w:rPr>
                <w:rFonts w:hint="default" w:ascii="Times New Roman" w:hAnsi="Times New Roman" w:eastAsia="宋体" w:cs="Times New Roman"/>
                <w:color w:val="000000"/>
                <w:sz w:val="24"/>
                <w:szCs w:val="20"/>
                <w:highlight w:val="none"/>
                <w:lang w:val="en-US" w:eastAsia="zh-CN"/>
              </w:rPr>
              <w:t xml:space="preserve">mg/L</w:t>
            </w:r>
            <w:r>
              <w:rPr>
                <w:rFonts w:hint="eastAsia" w:ascii="Times New Roman" w:hAnsi="Times New Roman" w:eastAsia="宋体" w:cs="宋体"/>
                <w:color w:val="000000"/>
                <w:sz w:val="24"/>
                <w:szCs w:val="20"/>
                <w:highlight w:val="none"/>
                <w:lang w:val="en-US" w:eastAsia="zh-CN"/>
              </w:rPr>
              <w:t xml:space="preserve">（可扩展）</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准确度</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w:t>
            </w:r>
            <w:r>
              <w:rPr>
                <w:rFonts w:hint="eastAsia" w:ascii="Times New Roman" w:hAnsi="Times New Roman" w:eastAsia="宋体" w:cs="Times New Roman"/>
                <w:color w:val="000000"/>
                <w:sz w:val="24"/>
                <w:szCs w:val="20"/>
                <w:highlight w:val="none"/>
                <w:lang w:val="en-US" w:eastAsia="zh-CN"/>
              </w:rPr>
              <w:t xml:space="preserve">3</w:t>
            </w:r>
            <w:r>
              <w:rPr>
                <w:rFonts w:hint="default" w:ascii="Times New Roman" w:hAnsi="Times New Roman" w:eastAsia="宋体" w:cs="Times New Roman"/>
                <w:color w:val="000000"/>
                <w:sz w:val="24"/>
                <w:szCs w:val="20"/>
                <w:highlight w:val="none"/>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重复性</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w:t>
            </w:r>
            <w:r>
              <w:rPr>
                <w:rFonts w:hint="eastAsia" w:ascii="Times New Roman" w:hAnsi="Times New Roman" w:eastAsia="宋体" w:cs="Times New Roman"/>
                <w:color w:val="000000"/>
                <w:sz w:val="24"/>
                <w:szCs w:val="20"/>
                <w:highlight w:val="none"/>
                <w:lang w:val="en-US" w:eastAsia="zh-CN"/>
              </w:rPr>
              <w:t xml:space="preserve">1</w:t>
            </w:r>
            <w:r>
              <w:rPr>
                <w:rFonts w:hint="default" w:ascii="Times New Roman" w:hAnsi="Times New Roman" w:eastAsia="宋体" w:cs="Times New Roman"/>
                <w:color w:val="000000"/>
                <w:sz w:val="24"/>
                <w:szCs w:val="20"/>
                <w:highlight w:val="none"/>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检出限</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w:t>
            </w:r>
            <w:r>
              <w:rPr>
                <w:rFonts w:hint="eastAsia" w:ascii="Times New Roman" w:hAnsi="Times New Roman" w:eastAsia="宋体" w:cs="Times New Roman"/>
                <w:color w:val="000000"/>
                <w:sz w:val="24"/>
                <w:szCs w:val="20"/>
                <w:highlight w:val="none"/>
                <w:lang w:val="en-US" w:eastAsia="zh-CN"/>
              </w:rPr>
              <w:t xml:space="preserve">0.05</w:t>
            </w:r>
            <w:r>
              <w:rPr>
                <w:rFonts w:hint="default" w:ascii="Times New Roman" w:hAnsi="Times New Roman" w:eastAsia="宋体" w:cs="Times New Roman"/>
                <w:color w:val="000000"/>
                <w:sz w:val="24"/>
                <w:szCs w:val="20"/>
                <w:highlight w:val="none"/>
                <w:lang w:val="en-US" w:eastAsia="zh-CN"/>
              </w:rPr>
              <w:t xml:space="preserve">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加标回收率</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100%-120%</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线性相关系数</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R≥0.999</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实际水样比对试验</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highlight w:val="none"/>
                <w:lang w:val="en-US" w:eastAsia="zh-CN"/>
              </w:rPr>
              <w:t xml:space="preserve">≤</w:t>
            </w:r>
            <w:r>
              <w:rPr>
                <w:rFonts w:hint="default" w:ascii="Times New Roman" w:hAnsi="Times New Roman" w:eastAsia="宋体" w:cs="Times New Roman"/>
                <w:color w:val="000000"/>
                <w:sz w:val="24"/>
                <w:szCs w:val="20"/>
                <w:highlight w:val="none"/>
                <w:lang w:val="en-US" w:eastAsia="zh-CN"/>
              </w:rPr>
              <w:t xml:space="preserve">10%</w:t>
            </w:r>
            <w:r/>
          </w:p>
        </w:tc>
      </w:tr>
    </w:tbl>
    <w:p>
      <w:pPr>
        <w:numPr>
          <w:ilvl w:val="0"/>
          <w:numId w:val="0"/>
        </w:numPr>
        <w:ind w:firstLine="510"/>
        <w:jc w:val="both"/>
        <w:keepLines w:val="0"/>
        <w:keepNext w:val="0"/>
        <w:pageBreakBefore w:val="0"/>
        <w:spacing w:line="560" w:lineRule="exact"/>
        <w:widowControl w:val="off"/>
        <w:rPr>
          <w:rFonts w:hint="eastAsia" w:ascii="Times New Roman" w:hAnsi="Times New Roman" w:eastAsia="宋体" w:cs="宋体"/>
          <w:b/>
          <w:bCs/>
          <w:spacing w:val="7"/>
          <w:sz w:val="24"/>
          <w:szCs w:val="23"/>
          <w:lang w:val="en-US" w:eastAsia="zh-CN"/>
        </w:rPr>
        <w:outlineLvl w:val="2"/>
      </w:pPr>
      <w:r>
        <w:rPr>
          <w:rFonts w:hint="eastAsia" w:ascii="Times New Roman" w:hAnsi="Times New Roman" w:eastAsia="宋体" w:cs="宋体"/>
          <w:b/>
          <w:bCs/>
          <w:spacing w:val="7"/>
          <w:sz w:val="24"/>
          <w:szCs w:val="23"/>
          <w:lang w:val="en-US" w:eastAsia="zh-CN"/>
        </w:rPr>
        <w:t xml:space="preserve">6、氨氮分析模块技术要求</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2"/>
        <w:gridCol w:w="4274"/>
      </w:tblGrid>
      <w:tr>
        <w:trPr>
          <w:trHeight w:val="483"/>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项</w:t>
            </w:r>
            <w:r>
              <w:rPr>
                <w:rFonts w:hint="default" w:ascii="Times New Roman" w:hAnsi="Times New Roman" w:eastAsia="宋体" w:cs="Times New Roman"/>
                <w:color w:val="000000"/>
                <w:sz w:val="24"/>
                <w:szCs w:val="20"/>
                <w:lang w:val="en-US" w:eastAsia="zh-CN"/>
              </w:rPr>
              <w:t xml:space="preserve">   </w:t>
            </w:r>
            <w:r>
              <w:rPr>
                <w:rFonts w:hint="eastAsia" w:ascii="Times New Roman" w:hAnsi="Times New Roman" w:eastAsia="宋体" w:cs="宋体"/>
                <w:color w:val="000000"/>
                <w:sz w:val="24"/>
                <w:szCs w:val="20"/>
                <w:lang w:val="en-US" w:eastAsia="zh-CN"/>
              </w:rPr>
              <w:t xml:space="preserve">目</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技术指标</w:t>
            </w:r>
            <w:r/>
          </w:p>
        </w:tc>
      </w:tr>
      <w:tr>
        <w:trPr>
          <w:trHeight w:val="416"/>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分析方法</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水杨酸分光光度法</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测定范围</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szCs w:val="20"/>
                <w:lang w:val="en-US" w:eastAsia="zh-CN"/>
              </w:rPr>
              <w:t xml:space="preserve">0.01-0.5</w:t>
            </w:r>
            <w:r>
              <w:rPr>
                <w:rFonts w:hint="default" w:ascii="Times New Roman" w:hAnsi="Times New Roman" w:eastAsia="宋体" w:cs="Times New Roman"/>
                <w:color w:val="000000"/>
                <w:sz w:val="24"/>
                <w:szCs w:val="20"/>
                <w:lang w:val="en-US" w:eastAsia="zh-CN"/>
              </w:rPr>
              <w:t xml:space="preserve">mg/L</w:t>
            </w:r>
            <w:r>
              <w:rPr>
                <w:rFonts w:hint="eastAsia" w:ascii="Times New Roman" w:hAnsi="Times New Roman" w:eastAsia="宋体" w:cs="宋体"/>
                <w:color w:val="000000"/>
                <w:sz w:val="24"/>
                <w:szCs w:val="20"/>
                <w:lang w:val="en-US" w:eastAsia="zh-CN"/>
              </w:rPr>
              <w:t xml:space="preserve">（可扩展）</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准确度</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2</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重复性</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1</w:t>
            </w:r>
            <w:r>
              <w:rPr>
                <w:rFonts w:hint="default" w:ascii="Times New Roman" w:hAnsi="Times New Roman" w:eastAsia="宋体" w:cs="Times New Roman"/>
                <w:color w:val="000000"/>
                <w:sz w:val="24"/>
                <w:szCs w:val="20"/>
                <w:lang w:val="en-US" w:eastAsia="zh-CN"/>
              </w:rPr>
              <w:t xml:space="preserve">%</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检出限</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t xml:space="preserve">0.01</w:t>
            </w:r>
            <w:r>
              <w:rPr>
                <w:rFonts w:hint="default" w:ascii="Times New Roman" w:hAnsi="Times New Roman" w:eastAsia="宋体" w:cs="Times New Roman"/>
                <w:color w:val="000000"/>
                <w:sz w:val="24"/>
                <w:szCs w:val="20"/>
                <w:lang w:val="en-US" w:eastAsia="zh-CN"/>
              </w:rPr>
              <w:t xml:space="preserve">mg/L</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eastAsia"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加标回收率</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80%-120%</w:t>
            </w:r>
            <w:r/>
          </w:p>
        </w:tc>
      </w:tr>
      <w:tr>
        <w:trPr>
          <w:trHeight w:val="349"/>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线性相关系数</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宋体"/>
                <w:color w:val="000000"/>
                <w:sz w:val="24"/>
                <w:szCs w:val="20"/>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R≥0.999</w:t>
            </w:r>
            <w:r/>
          </w:p>
        </w:tc>
      </w:tr>
      <w:tr>
        <w:trPr>
          <w:trHeight w:val="330"/>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实际水样比对试验</w:t>
            </w:r>
            <w:r/>
          </w:p>
        </w:tc>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ind w:left="0" w:right="0"/>
              <w:jc w:val="left"/>
              <w:keepLines w:val="0"/>
              <w:keepNext w:val="0"/>
              <w:spacing w:before="0" w:beforeAutospacing="0" w:after="0" w:afterAutospacing="0" w:line="85" w:lineRule="atLeast"/>
              <w:widowControl/>
              <w:rPr>
                <w:rFonts w:hint="default" w:ascii="Times New Roman" w:hAnsi="Times New Roman" w:eastAsia="宋体" w:cs="Times New Roman"/>
                <w:sz w:val="24"/>
                <w:szCs w:val="21"/>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000000"/>
                <w:sz w:val="24"/>
                <w:szCs w:val="20"/>
                <w:lang w:val="en-US" w:eastAsia="zh-CN"/>
              </w:rPr>
              <w:t xml:space="preserve">≤</w:t>
            </w:r>
            <w:r>
              <w:rPr>
                <w:rFonts w:hint="default" w:ascii="Times New Roman" w:hAnsi="Times New Roman" w:eastAsia="宋体" w:cs="Times New Roman"/>
                <w:color w:val="000000"/>
                <w:sz w:val="24"/>
                <w:szCs w:val="20"/>
                <w:lang w:val="en-US" w:eastAsia="zh-CN"/>
              </w:rPr>
              <w:t xml:space="preserve">10%</w:t>
            </w:r>
            <w:r/>
          </w:p>
        </w:tc>
      </w:tr>
    </w:tbl>
    <w:p>
      <w:pPr>
        <w:ind w:firstLine="482"/>
        <w:keepLines w:val="0"/>
        <w:keepNext w:val="0"/>
        <w:pageBreakBefore w:val="0"/>
        <w:spacing w:line="560" w:lineRule="exact"/>
        <w:widowControl w:val="off"/>
        <w:rPr>
          <w:rFonts w:hint="default" w:ascii="Times New Roman" w:hAnsi="Times New Roman" w:eastAsia="宋体" w:cs="宋体"/>
          <w:b/>
          <w:bCs/>
          <w:sz w:val="24"/>
          <w:szCs w:val="21"/>
          <w:lang w:val="en-US" w:eastAsia="zh-CN"/>
        </w:rPr>
        <w:outlineLvl w:val="1"/>
      </w:pPr>
      <w:r>
        <w:rPr>
          <w:rFonts w:hint="eastAsia" w:ascii="Times New Roman" w:hAnsi="Times New Roman" w:eastAsia="宋体" w:cs="宋体"/>
          <w:b/>
          <w:bCs/>
          <w:sz w:val="24"/>
          <w:szCs w:val="21"/>
          <w:lang w:val="en-US" w:eastAsia="zh-CN"/>
        </w:rPr>
        <w:t xml:space="preserve">（五）智能管控终端技术要求</w:t>
      </w:r>
      <w:r/>
    </w:p>
    <w:p>
      <w:pPr>
        <w:ind w:firstLine="482"/>
        <w:keepLines w:val="0"/>
        <w:keepNext w:val="0"/>
        <w:pageBreakBefore w:val="0"/>
        <w:spacing w:line="560" w:lineRule="exact"/>
        <w:widowControl w:val="off"/>
        <w:rPr>
          <w:rFonts w:hint="default" w:ascii="Times New Roman" w:hAnsi="Times New Roman" w:eastAsia="宋体" w:cs="宋体"/>
          <w:b w:val="0"/>
          <w:bCs w:val="0"/>
          <w:sz w:val="24"/>
          <w:szCs w:val="21"/>
          <w:lang w:val="en-US" w:eastAsia="zh-CN"/>
        </w:rPr>
        <w:outlineLvl w:val="9"/>
      </w:pPr>
      <w:r>
        <w:rPr>
          <w:rFonts w:hint="eastAsia" w:ascii="Times New Roman" w:hAnsi="Times New Roman" w:eastAsia="宋体" w:cs="宋体"/>
          <w:b/>
          <w:bCs/>
          <w:sz w:val="24"/>
          <w:szCs w:val="21"/>
          <w:lang w:val="en-US" w:eastAsia="zh-CN"/>
        </w:rPr>
        <w:t xml:space="preserve">功能参数</w:t>
      </w:r>
      <w:r>
        <w:rPr>
          <w:rFonts w:hint="eastAsia" w:ascii="Times New Roman" w:hAnsi="Times New Roman" w:eastAsia="宋体" w:cs="宋体"/>
          <w:b w:val="0"/>
          <w:bCs w:val="0"/>
          <w:sz w:val="24"/>
          <w:szCs w:val="21"/>
          <w:lang w:val="en-US" w:eastAsia="zh-CN"/>
        </w:rPr>
        <w:t xml:space="preserve">：</w:t>
      </w:r>
      <w:r/>
    </w:p>
    <w:p>
      <w:pPr>
        <w:numPr>
          <w:ilvl w:val="0"/>
          <w:numId w:val="0"/>
        </w:numPr>
        <w:keepLines w:val="0"/>
        <w:keepNext w:val="0"/>
        <w:pageBreakBefore w:val="0"/>
        <w:spacing w:line="560" w:lineRule="exact"/>
        <w:widowControl w:val="off"/>
        <w:rPr>
          <w:rFonts w:hint="eastAsia" w:ascii="Times New Roman" w:hAnsi="Times New Roman" w:eastAsia="宋体" w:cs="宋体"/>
          <w:b w:val="0"/>
          <w:bCs w:val="0"/>
          <w:sz w:val="24"/>
          <w:szCs w:val="21"/>
          <w:lang w:eastAsia="zh-CN"/>
        </w:rPr>
        <w:outlineLvl w:val="9"/>
      </w:pPr>
      <w:r>
        <w:rPr>
          <w:rFonts w:hint="eastAsia" w:ascii="Times New Roman" w:hAnsi="Times New Roman" w:eastAsia="宋体" w:cs="宋体"/>
          <w:b w:val="0"/>
          <w:bCs w:val="0"/>
          <w:sz w:val="24"/>
          <w:szCs w:val="21"/>
        </w:rPr>
        <w:t xml:space="preserve">采样功能</w:t>
      </w:r>
      <w:r>
        <w:rPr>
          <w:rFonts w:hint="eastAsia" w:ascii="Times New Roman" w:hAnsi="Times New Roman" w:eastAsia="宋体" w:cs="宋体"/>
          <w:b w:val="0"/>
          <w:bCs w:val="0"/>
          <w:sz w:val="24"/>
          <w:szCs w:val="21"/>
          <w:lang w:eastAsia="zh-CN"/>
        </w:rPr>
        <w:t xml:space="preserve">：</w:t>
      </w:r>
      <w:r/>
    </w:p>
    <w:p>
      <w:pPr>
        <w:numPr>
          <w:ilvl w:val="0"/>
          <w:numId w:val="0"/>
        </w:num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outlineLvl w:val="9"/>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1</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管控终端可支持电量、雨量、水位、流量等监控仪表的按水可根据设置的仪表阈值触发采样</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outlineLvl w:val="9"/>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2</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采样瓶电子芯片功能</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内置电子芯片，可存储记录样品ID、采样时间、采样点位、取样人身份等信息，并支持APP扫描获取相关信息</w:t>
      </w:r>
      <w:r>
        <w:rPr>
          <w:rFonts w:hint="eastAsia" w:ascii="Times New Roman" w:hAnsi="Times New Roman" w:eastAsia="宋体" w:cs="宋体"/>
          <w:b w:val="0"/>
          <w:bCs w:val="0"/>
          <w:sz w:val="24"/>
          <w:szCs w:val="21"/>
          <w:lang w:eastAsia="zh-CN"/>
        </w:rPr>
        <w:t xml:space="preserve">；</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outlineLvl w:val="9"/>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3</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采样记录功能</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可自动记录每次采样的日期、起始时间</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结束时间、采样模式、采样量、采样结果、采样次数等信息</w:t>
      </w:r>
      <w:r>
        <w:rPr>
          <w:rFonts w:hint="eastAsia" w:ascii="Times New Roman" w:hAnsi="Times New Roman" w:eastAsia="宋体" w:cs="宋体"/>
          <w:b w:val="0"/>
          <w:bCs w:val="0"/>
          <w:sz w:val="24"/>
          <w:szCs w:val="21"/>
          <w:lang w:eastAsia="zh-CN"/>
        </w:rPr>
        <w:t xml:space="preserve">；</w:t>
      </w:r>
      <w:r/>
    </w:p>
    <w:p>
      <w:pPr>
        <w:ind w:firstLine="482"/>
        <w:keepLines w:val="0"/>
        <w:keepNext w:val="0"/>
        <w:pageBreakBefore w:val="0"/>
        <w:spacing w:line="560" w:lineRule="exact"/>
        <w:widowControl w:val="off"/>
        <w:rPr>
          <w:rFonts w:hint="eastAsia" w:ascii="Times New Roman" w:hAnsi="Times New Roman" w:eastAsia="宋体" w:cs="宋体"/>
          <w:b w:val="0"/>
          <w:bCs w:val="0"/>
          <w:sz w:val="24"/>
          <w:szCs w:val="21"/>
        </w:rPr>
        <w:outlineLvl w:val="9"/>
      </w:pPr>
      <w:r>
        <w:rPr>
          <w:rFonts w:hint="eastAsia" w:ascii="Times New Roman" w:hAnsi="Times New Roman" w:eastAsia="宋体" w:cs="宋体"/>
          <w:b/>
          <w:bCs/>
          <w:sz w:val="24"/>
          <w:szCs w:val="24"/>
        </w:rPr>
        <w:t xml:space="preserve">▲</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4</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记录存储功能</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具有保存采样记录、故障信息、样品保存温度、超标报警信息、操作记录、断电记录、开门记录等功能，并能够输出存储的信息</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outlineLvl w:val="9"/>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5</w:t>
      </w:r>
      <w:r>
        <w:rPr>
          <w:rFonts w:hint="eastAsia" w:ascii="Times New Roman" w:hAnsi="Times New Roman" w:eastAsia="宋体" w:cs="宋体"/>
          <w:b w:val="0"/>
          <w:bCs w:val="0"/>
          <w:sz w:val="24"/>
          <w:szCs w:val="21"/>
          <w:lang w:eastAsia="zh-CN"/>
        </w:rPr>
        <w:t xml:space="preserve">）设备外接功能：支持雨量计、水位计、流量计、常规五参数等监控仪表的接入，可根据仪表数据关联或触发采样；</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outlineLvl w:val="9"/>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6</w:t>
      </w:r>
      <w:r>
        <w:rPr>
          <w:rFonts w:hint="eastAsia" w:ascii="Times New Roman" w:hAnsi="Times New Roman" w:eastAsia="宋体" w:cs="宋体"/>
          <w:b w:val="0"/>
          <w:bCs w:val="0"/>
          <w:sz w:val="24"/>
          <w:szCs w:val="21"/>
          <w:lang w:eastAsia="zh-CN"/>
        </w:rPr>
        <w:t xml:space="preserve">）采样瓶由惰性材料制成，易清洗，容量大于500mL，样瓶数量不少于12个；</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outlineLvl w:val="9"/>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7</w:t>
      </w:r>
      <w:r>
        <w:rPr>
          <w:rFonts w:hint="eastAsia" w:ascii="Times New Roman" w:hAnsi="Times New Roman" w:eastAsia="宋体" w:cs="宋体"/>
          <w:b w:val="0"/>
          <w:bCs w:val="0"/>
          <w:sz w:val="24"/>
          <w:szCs w:val="21"/>
          <w:lang w:eastAsia="zh-CN"/>
        </w:rPr>
        <w:t xml:space="preserve">）远程控制功能：可通过采运信息化平台实现远程采样模式切换（如：维护模式、等时模式、等量模式、触发模式、基站受控）、远程留样、状态查询、参数设置、样瓶锁定、流程调试、远程测试（可远程对设备发送润洗管道、一键排空、样瓶排空指令）等功能。</w:t>
      </w:r>
      <w:r/>
    </w:p>
    <w:p>
      <w:pPr>
        <w:ind w:firstLine="482"/>
        <w:keepLines w:val="0"/>
        <w:keepNext w:val="0"/>
        <w:pageBreakBefore w:val="0"/>
        <w:spacing w:line="560" w:lineRule="exact"/>
        <w:widowControl w:val="off"/>
        <w:rPr>
          <w:rFonts w:hint="eastAsia" w:ascii="Times New Roman" w:hAnsi="Times New Roman" w:eastAsia="宋体" w:cs="宋体"/>
          <w:b w:val="0"/>
          <w:bCs w:val="0"/>
          <w:sz w:val="24"/>
          <w:szCs w:val="21"/>
          <w:lang w:eastAsia="zh-CN"/>
        </w:rPr>
        <w:outlineLvl w:val="9"/>
      </w:pPr>
      <w:r>
        <w:rPr>
          <w:rFonts w:hint="eastAsia" w:ascii="Times New Roman" w:hAnsi="Times New Roman" w:eastAsia="宋体" w:cs="宋体"/>
          <w:b/>
          <w:bCs/>
          <w:sz w:val="24"/>
          <w:szCs w:val="24"/>
        </w:rPr>
        <w:t xml:space="preserve">▲</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8</w:t>
      </w:r>
      <w:r>
        <w:rPr>
          <w:rFonts w:hint="eastAsia" w:ascii="Times New Roman" w:hAnsi="Times New Roman" w:eastAsia="宋体" w:cs="宋体"/>
          <w:b w:val="0"/>
          <w:bCs w:val="0"/>
          <w:sz w:val="24"/>
          <w:szCs w:val="21"/>
          <w:lang w:eastAsia="zh-CN"/>
        </w:rPr>
        <w:t xml:space="preserve">）在正常运行状态下，管控终端可平稳工作管控终端的部件不易产生机械、电路故障，便于维护、检查作业，无安全危险在出现浸湿、结露等情况时，水质自动管控终端应能保持正常运行。</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outlineLvl w:val="9"/>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9</w:t>
      </w:r>
      <w:r>
        <w:rPr>
          <w:rFonts w:hint="eastAsia" w:ascii="Times New Roman" w:hAnsi="Times New Roman" w:eastAsia="宋体" w:cs="宋体"/>
          <w:b w:val="0"/>
          <w:bCs w:val="0"/>
          <w:sz w:val="24"/>
          <w:szCs w:val="21"/>
          <w:lang w:eastAsia="zh-CN"/>
        </w:rPr>
        <w:t xml:space="preserve">）管控终端具有</w:t>
      </w:r>
      <w:r>
        <w:rPr>
          <w:rFonts w:hint="eastAsia" w:ascii="Times New Roman" w:hAnsi="Times New Roman" w:eastAsia="宋体" w:cs="宋体"/>
          <w:b w:val="0"/>
          <w:bCs w:val="0"/>
          <w:sz w:val="24"/>
          <w:szCs w:val="21"/>
          <w:lang w:val="en-US" w:eastAsia="zh-CN"/>
        </w:rPr>
        <w:t xml:space="preserve">雨</w:t>
      </w:r>
      <w:r>
        <w:rPr>
          <w:rFonts w:hint="eastAsia" w:ascii="Times New Roman" w:hAnsi="Times New Roman" w:eastAsia="宋体" w:cs="宋体"/>
          <w:b w:val="0"/>
          <w:bCs w:val="0"/>
          <w:sz w:val="24"/>
          <w:szCs w:val="21"/>
          <w:lang w:eastAsia="zh-CN"/>
        </w:rPr>
        <w:t xml:space="preserve">量计接入的接口，可实现流量等比例采样。</w:t>
      </w:r>
      <w:r/>
    </w:p>
    <w:p>
      <w:pPr>
        <w:ind w:firstLine="482"/>
        <w:keepLines w:val="0"/>
        <w:keepNext w:val="0"/>
        <w:pageBreakBefore w:val="0"/>
        <w:spacing w:line="560" w:lineRule="exact"/>
        <w:widowControl w:val="off"/>
        <w:rPr>
          <w:rFonts w:hint="default" w:ascii="Times New Roman" w:hAnsi="Times New Roman" w:eastAsia="宋体" w:cs="宋体"/>
          <w:b w:val="0"/>
          <w:bCs w:val="0"/>
          <w:sz w:val="24"/>
          <w:szCs w:val="21"/>
          <w:lang w:val="en-US" w:eastAsia="zh-CN"/>
        </w:rPr>
        <w:outlineLvl w:val="9"/>
      </w:pPr>
      <w:r>
        <w:rPr>
          <w:rFonts w:hint="eastAsia" w:ascii="Times New Roman" w:hAnsi="Times New Roman" w:eastAsia="宋体" w:cs="宋体"/>
          <w:b/>
          <w:bCs/>
          <w:sz w:val="24"/>
          <w:szCs w:val="21"/>
          <w:lang w:val="en-US" w:eastAsia="zh-CN"/>
        </w:rPr>
        <w:t xml:space="preserve">技术参数</w:t>
      </w:r>
      <w:r>
        <w:rPr>
          <w:rFonts w:hint="eastAsia" w:ascii="Times New Roman" w:hAnsi="Times New Roman" w:eastAsia="宋体" w:cs="宋体"/>
          <w:b w:val="0"/>
          <w:bCs w:val="0"/>
          <w:sz w:val="24"/>
          <w:szCs w:val="21"/>
          <w:lang w:val="en-US" w:eastAsia="zh-CN"/>
        </w:rPr>
        <w:t xml:space="preserve">：</w:t>
      </w:r>
      <w:r/>
    </w:p>
    <w:p>
      <w:pPr>
        <w:numPr>
          <w:ilvl w:val="0"/>
          <w:numId w:val="0"/>
        </w:num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outlineLvl w:val="9"/>
      </w:pPr>
      <w:r>
        <w:rPr>
          <w:rFonts w:hint="eastAsia" w:ascii="Times New Roman" w:hAnsi="Times New Roman" w:eastAsia="宋体" w:cs="宋体"/>
          <w:b w:val="0"/>
          <w:bCs w:val="0"/>
          <w:sz w:val="24"/>
          <w:szCs w:val="21"/>
          <w:lang w:val="en-US" w:eastAsia="zh-CN"/>
        </w:rPr>
        <w:t xml:space="preserve">（1）采样量误差：±5%；</w:t>
      </w:r>
      <w:r/>
    </w:p>
    <w:p>
      <w:pPr>
        <w:numPr>
          <w:ilvl w:val="0"/>
          <w:numId w:val="0"/>
        </w:numPr>
        <w:ind w:firstLine="480"/>
        <w:keepLines w:val="0"/>
        <w:keepNext w:val="0"/>
        <w:pageBreakBefore w:val="0"/>
        <w:spacing w:line="560" w:lineRule="exact"/>
        <w:widowControl w:val="off"/>
        <w:rPr>
          <w:rFonts w:hint="default" w:ascii="Times New Roman" w:hAnsi="Times New Roman" w:eastAsia="宋体" w:cs="宋体"/>
          <w:b w:val="0"/>
          <w:bCs w:val="0"/>
          <w:sz w:val="24"/>
          <w:szCs w:val="21"/>
          <w:lang w:val="en-US" w:eastAsia="zh-CN"/>
        </w:rPr>
        <w:outlineLvl w:val="9"/>
      </w:pPr>
      <w:r>
        <w:rPr>
          <w:rFonts w:hint="default" w:ascii="Times New Roman" w:hAnsi="Times New Roman" w:eastAsia="宋体" w:cs="宋体"/>
          <w:b w:val="0"/>
          <w:bCs w:val="0"/>
          <w:sz w:val="24"/>
          <w:szCs w:val="21"/>
          <w:lang w:val="en-US" w:eastAsia="zh-CN"/>
        </w:rPr>
        <w:t xml:space="preserve">（2）</w:t>
      </w:r>
      <w:r>
        <w:rPr>
          <w:rFonts w:hint="eastAsia" w:ascii="Times New Roman" w:hAnsi="Times New Roman" w:eastAsia="宋体" w:cs="宋体"/>
          <w:b w:val="0"/>
          <w:bCs w:val="0"/>
          <w:sz w:val="24"/>
          <w:szCs w:val="21"/>
          <w:lang w:val="en-US" w:eastAsia="zh-CN"/>
        </w:rPr>
        <w:t xml:space="preserve">等比例采样量误差：±5%；</w:t>
      </w:r>
      <w:r/>
    </w:p>
    <w:p>
      <w:pPr>
        <w:numPr>
          <w:ilvl w:val="0"/>
          <w:numId w:val="0"/>
        </w:numPr>
        <w:ind w:firstLine="480"/>
        <w:keepLines w:val="0"/>
        <w:keepNext w:val="0"/>
        <w:pageBreakBefore w:val="0"/>
        <w:spacing w:line="560" w:lineRule="exact"/>
        <w:widowControl w:val="off"/>
        <w:rPr>
          <w:rFonts w:hint="default" w:ascii="Times New Roman" w:hAnsi="Times New Roman" w:eastAsia="宋体" w:cs="宋体"/>
          <w:b w:val="0"/>
          <w:bCs w:val="0"/>
          <w:sz w:val="24"/>
          <w:szCs w:val="21"/>
          <w:lang w:val="en-US" w:eastAsia="zh-CN"/>
        </w:rPr>
        <w:outlineLvl w:val="9"/>
      </w:pPr>
      <w:r>
        <w:rPr>
          <w:rFonts w:hint="default" w:ascii="Times New Roman" w:hAnsi="Times New Roman" w:eastAsia="宋体" w:cs="宋体"/>
          <w:b w:val="0"/>
          <w:bCs w:val="0"/>
          <w:sz w:val="24"/>
          <w:szCs w:val="21"/>
          <w:lang w:val="en-US" w:eastAsia="zh-CN"/>
        </w:rPr>
        <w:t xml:space="preserve">（3）</w:t>
      </w:r>
      <w:r>
        <w:rPr>
          <w:rFonts w:hint="eastAsia" w:ascii="Times New Roman" w:hAnsi="Times New Roman" w:eastAsia="宋体" w:cs="宋体"/>
          <w:b w:val="0"/>
          <w:bCs w:val="0"/>
          <w:sz w:val="24"/>
          <w:szCs w:val="21"/>
          <w:lang w:val="en-US" w:eastAsia="zh-CN"/>
        </w:rPr>
        <w:t xml:space="preserve">采样垂直高度：≥7m；</w:t>
      </w:r>
      <w:r/>
    </w:p>
    <w:p>
      <w:pPr>
        <w:numPr>
          <w:ilvl w:val="0"/>
          <w:numId w:val="0"/>
        </w:numPr>
        <w:ind w:firstLine="480"/>
        <w:keepLines w:val="0"/>
        <w:keepNext w:val="0"/>
        <w:pageBreakBefore w:val="0"/>
        <w:spacing w:line="560" w:lineRule="exact"/>
        <w:widowControl w:val="off"/>
        <w:rPr>
          <w:rFonts w:hint="default" w:ascii="Times New Roman" w:hAnsi="Times New Roman" w:eastAsia="宋体" w:cs="宋体"/>
          <w:b w:val="0"/>
          <w:bCs w:val="0"/>
          <w:sz w:val="24"/>
          <w:szCs w:val="21"/>
          <w:lang w:val="en-US" w:eastAsia="zh-CN"/>
        </w:rPr>
        <w:outlineLvl w:val="9"/>
      </w:pPr>
      <w:r>
        <w:rPr>
          <w:rFonts w:hint="default" w:ascii="Times New Roman" w:hAnsi="Times New Roman" w:eastAsia="宋体" w:cs="宋体"/>
          <w:b w:val="0"/>
          <w:bCs w:val="0"/>
          <w:sz w:val="24"/>
          <w:szCs w:val="24"/>
          <w:lang w:val="en-US" w:eastAsia="zh-CN" w:bidi="ar-SA"/>
        </w:rPr>
        <w:t xml:space="preserve">（4）</w:t>
      </w:r>
      <w:r>
        <w:rPr>
          <w:rFonts w:hint="eastAsia" w:ascii="Times New Roman" w:hAnsi="Times New Roman" w:eastAsia="宋体" w:cs="宋体"/>
          <w:b w:val="0"/>
          <w:bCs w:val="0"/>
          <w:sz w:val="24"/>
          <w:szCs w:val="21"/>
          <w:lang w:val="en-US" w:eastAsia="zh-CN"/>
        </w:rPr>
        <w:t xml:space="preserve">水平采样距离：≥50m；</w:t>
      </w:r>
      <w:r/>
    </w:p>
    <w:p>
      <w:pPr>
        <w:numPr>
          <w:ilvl w:val="0"/>
          <w:numId w:val="0"/>
        </w:num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outlineLvl w:val="9"/>
      </w:pPr>
      <w:r>
        <w:rPr>
          <w:rFonts w:hint="default" w:ascii="Times New Roman" w:hAnsi="Times New Roman" w:eastAsia="宋体" w:cs="宋体"/>
          <w:b w:val="0"/>
          <w:bCs w:val="0"/>
          <w:sz w:val="24"/>
          <w:szCs w:val="24"/>
          <w:lang w:val="en-US" w:eastAsia="zh-CN" w:bidi="ar-SA"/>
        </w:rPr>
        <w:t xml:space="preserve">（5）</w:t>
      </w:r>
      <w:r>
        <w:rPr>
          <w:rFonts w:hint="eastAsia" w:ascii="Times New Roman" w:hAnsi="Times New Roman" w:eastAsia="宋体" w:cs="宋体"/>
          <w:b w:val="0"/>
          <w:bCs w:val="0"/>
          <w:sz w:val="24"/>
          <w:szCs w:val="21"/>
          <w:lang w:val="en-US" w:eastAsia="zh-CN"/>
        </w:rPr>
        <w:t xml:space="preserve">管路系统气密性：≤-0.05MPa</w:t>
      </w:r>
      <w:r/>
    </w:p>
    <w:p>
      <w:pPr>
        <w:spacing w:line="560" w:lineRule="exact"/>
        <w:rPr>
          <w:rFonts w:hint="eastAsia" w:ascii="宋体" w:hAnsi="宋体" w:eastAsia="宋体" w:cs="Times New Roman"/>
          <w:b/>
          <w:bCs/>
          <w:sz w:val="24"/>
          <w:szCs w:val="24"/>
          <w:highlight w:val="none"/>
          <w:lang w:val="en-US" w:eastAsia="zh-CN"/>
        </w:rPr>
        <w:outlineLvl w:val="0"/>
      </w:pPr>
      <w:r>
        <w:rPr>
          <w:rFonts w:hint="eastAsia" w:ascii="宋体" w:hAnsi="宋体" w:eastAsia="宋体" w:cs="Times New Roman"/>
          <w:b/>
          <w:bCs/>
          <w:sz w:val="24"/>
          <w:szCs w:val="24"/>
          <w:highlight w:val="none"/>
          <w:lang w:val="en-US" w:eastAsia="zh-CN"/>
        </w:rPr>
        <w:t xml:space="preserve">（注：以上“▲”标注项须提供省级及以上计量检测单位出具的检测报告，未按要求提供或未提供的，视为不满足，即不得分。）</w:t>
      </w:r>
      <w:r/>
    </w:p>
    <w:p>
      <w:pPr>
        <w:spacing w:line="560" w:lineRule="exact"/>
        <w:rPr>
          <w:rFonts w:hint="eastAsia" w:ascii="Times New Roman" w:hAnsi="Times New Roman" w:eastAsia="宋体" w:cs="宋体"/>
          <w:b/>
          <w:bCs/>
          <w:sz w:val="24"/>
          <w:szCs w:val="21"/>
        </w:rPr>
        <w:outlineLvl w:val="0"/>
      </w:pPr>
      <w:r>
        <w:rPr>
          <w:rFonts w:hint="eastAsia" w:ascii="Times New Roman" w:hAnsi="Times New Roman" w:eastAsia="宋体" w:cs="宋体"/>
          <w:b/>
          <w:bCs/>
          <w:sz w:val="24"/>
          <w:szCs w:val="21"/>
        </w:rPr>
        <w:t xml:space="preserve">六、运维服务</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为确保沛县饮用水源地水质监测系统的长期稳定运行，保障监测数据的准确性、完整性和及时性，针对水质自动监测站、水质监测浮标站、</w:t>
      </w:r>
      <w:r>
        <w:rPr>
          <w:rFonts w:hint="eastAsia" w:ascii="Times New Roman" w:hAnsi="Times New Roman" w:eastAsia="宋体" w:cs="宋体"/>
          <w:b w:val="0"/>
          <w:bCs w:val="0"/>
          <w:sz w:val="24"/>
          <w:szCs w:val="21"/>
          <w:lang w:val="en-US" w:eastAsia="zh-CN"/>
        </w:rPr>
        <w:t xml:space="preserve">多通道全自动水质分析仪</w:t>
      </w:r>
      <w:r>
        <w:rPr>
          <w:rFonts w:hint="eastAsia" w:ascii="Times New Roman" w:hAnsi="Times New Roman" w:eastAsia="宋体" w:cs="宋体"/>
          <w:b w:val="0"/>
          <w:bCs w:val="0"/>
          <w:sz w:val="24"/>
          <w:szCs w:val="21"/>
        </w:rPr>
        <w:t xml:space="preserve">及</w:t>
      </w:r>
      <w:r>
        <w:rPr>
          <w:rFonts w:hint="eastAsia" w:ascii="Times New Roman" w:hAnsi="Times New Roman" w:eastAsia="宋体" w:cs="宋体"/>
          <w:b w:val="0"/>
          <w:bCs w:val="0"/>
          <w:sz w:val="24"/>
          <w:szCs w:val="21"/>
          <w:lang w:val="en-US" w:eastAsia="zh-CN"/>
        </w:rPr>
        <w:t xml:space="preserve">智能管控终端</w:t>
      </w:r>
      <w:r>
        <w:rPr>
          <w:rFonts w:hint="eastAsia" w:ascii="Times New Roman" w:hAnsi="Times New Roman" w:eastAsia="宋体" w:cs="宋体"/>
          <w:b w:val="0"/>
          <w:bCs w:val="0"/>
          <w:sz w:val="24"/>
          <w:szCs w:val="21"/>
        </w:rPr>
        <w:t xml:space="preserve">等</w:t>
      </w:r>
      <w:r>
        <w:rPr>
          <w:rFonts w:hint="eastAsia" w:ascii="Times New Roman" w:hAnsi="Times New Roman" w:eastAsia="宋体" w:cs="宋体"/>
          <w:b w:val="0"/>
          <w:bCs w:val="0"/>
          <w:sz w:val="24"/>
          <w:szCs w:val="21"/>
          <w:lang w:val="en-US" w:eastAsia="zh-CN"/>
        </w:rPr>
        <w:t xml:space="preserve">仪器</w:t>
      </w:r>
      <w:r>
        <w:rPr>
          <w:rFonts w:hint="eastAsia" w:ascii="Times New Roman" w:hAnsi="Times New Roman" w:eastAsia="宋体" w:cs="宋体"/>
          <w:b w:val="0"/>
          <w:bCs w:val="0"/>
          <w:sz w:val="24"/>
          <w:szCs w:val="21"/>
        </w:rPr>
        <w:t xml:space="preserve">设备</w:t>
      </w:r>
      <w:r>
        <w:rPr>
          <w:rFonts w:hint="eastAsia" w:ascii="Times New Roman" w:hAnsi="Times New Roman" w:eastAsia="宋体" w:cs="宋体"/>
          <w:b w:val="0"/>
          <w:bCs w:val="0"/>
          <w:sz w:val="24"/>
          <w:szCs w:val="21"/>
          <w:lang w:val="en-US" w:eastAsia="zh-CN"/>
        </w:rPr>
        <w:t xml:space="preserve">应</w:t>
      </w:r>
      <w:r>
        <w:rPr>
          <w:rFonts w:hint="eastAsia" w:ascii="Times New Roman" w:hAnsi="Times New Roman" w:eastAsia="宋体" w:cs="宋体"/>
          <w:b w:val="0"/>
          <w:bCs w:val="0"/>
          <w:sz w:val="24"/>
          <w:szCs w:val="21"/>
        </w:rPr>
        <w:t xml:space="preserve">制定详细的运行维护计划。运维工作主要包括日常巡检、定期维护、故障处理、数据质控及应急响应等，确保系统在无人值守或远程监控模式下仍能高效运行。</w:t>
      </w:r>
      <w:r/>
    </w:p>
    <w:p>
      <w:pPr>
        <w:ind w:firstLine="420"/>
        <w:jc w:val="both"/>
        <w:keepLines w:val="0"/>
        <w:keepNext w:val="0"/>
        <w:pageBreakBefore w:val="0"/>
        <w:spacing w:line="560" w:lineRule="exact"/>
        <w:widowControl w:val="off"/>
        <w:rPr>
          <w:rFonts w:hint="eastAsia" w:ascii="Times New Roman" w:hAnsi="Times New Roman" w:eastAsia="宋体" w:cs="宋体"/>
          <w:b/>
          <w:bCs w:val="0"/>
          <w:sz w:val="24"/>
          <w:szCs w:val="24"/>
          <w:lang w:val="en-US" w:eastAsia="zh-CN" w:bidi="ar-SA"/>
        </w:rPr>
        <w:outlineLvl w:val="1"/>
      </w:pPr>
      <w:r>
        <w:rPr>
          <w:rFonts w:hint="eastAsia" w:ascii="Times New Roman" w:hAnsi="Times New Roman" w:eastAsia="宋体" w:cs="宋体"/>
          <w:b/>
          <w:bCs w:val="0"/>
          <w:sz w:val="24"/>
          <w:szCs w:val="24"/>
          <w:lang w:val="en-US" w:eastAsia="zh-CN" w:bidi="ar-SA"/>
        </w:rPr>
        <w:t xml:space="preserve">1、运维目标</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确保监测设备正常运行，数据准确可靠；</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延长设备使用寿命，降低故障率；</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建立智能化运维体系，减少人工干预；</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提高突发污染事件的应急响应能力。</w:t>
      </w:r>
      <w:r/>
    </w:p>
    <w:p>
      <w:pPr>
        <w:ind w:firstLine="420"/>
        <w:jc w:val="both"/>
        <w:keepLines w:val="0"/>
        <w:keepNext w:val="0"/>
        <w:pageBreakBefore w:val="0"/>
        <w:spacing w:line="560" w:lineRule="exact"/>
        <w:widowControl w:val="off"/>
        <w:rPr>
          <w:rFonts w:hint="eastAsia" w:ascii="Times New Roman" w:hAnsi="Times New Roman" w:eastAsia="宋体" w:cs="宋体"/>
          <w:b/>
          <w:bCs w:val="0"/>
          <w:sz w:val="24"/>
          <w:szCs w:val="24"/>
          <w:lang w:val="en-US" w:eastAsia="zh-CN" w:bidi="ar-SA"/>
        </w:rPr>
        <w:outlineLvl w:val="1"/>
      </w:pPr>
      <w:r>
        <w:rPr>
          <w:rFonts w:hint="eastAsia" w:ascii="Times New Roman" w:hAnsi="Times New Roman" w:eastAsia="宋体" w:cs="宋体"/>
          <w:b/>
          <w:bCs w:val="0"/>
          <w:sz w:val="24"/>
          <w:szCs w:val="24"/>
          <w:lang w:val="en-US" w:eastAsia="zh-CN" w:bidi="ar-SA"/>
        </w:rPr>
        <w:t xml:space="preserve">2、运维模式</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日常巡检：远程监控+现场定期检查。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智能运维：依托自动化诊断、远程质控、AI数据分析等技术，实现高效运维。</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应急响应：建立快速维修机制，确保设备故障24小时内修复。</w:t>
      </w:r>
      <w:r/>
    </w:p>
    <w:p>
      <w:pPr>
        <w:ind w:firstLine="420"/>
        <w:jc w:val="both"/>
        <w:keepLines w:val="0"/>
        <w:keepNext w:val="0"/>
        <w:pageBreakBefore w:val="0"/>
        <w:spacing w:line="560" w:lineRule="exact"/>
        <w:widowControl w:val="off"/>
        <w:rPr>
          <w:rFonts w:hint="eastAsia" w:ascii="Times New Roman" w:hAnsi="Times New Roman" w:eastAsia="宋体" w:cs="宋体"/>
          <w:b/>
          <w:bCs w:val="0"/>
          <w:sz w:val="24"/>
          <w:szCs w:val="24"/>
          <w:lang w:val="en-US" w:eastAsia="zh-CN" w:bidi="ar-SA"/>
        </w:rPr>
        <w:outlineLvl w:val="1"/>
      </w:pPr>
      <w:r>
        <w:rPr>
          <w:rFonts w:hint="eastAsia" w:ascii="Times New Roman" w:hAnsi="Times New Roman" w:eastAsia="宋体" w:cs="宋体"/>
          <w:b/>
          <w:bCs w:val="0"/>
          <w:sz w:val="24"/>
          <w:szCs w:val="24"/>
          <w:lang w:val="en-US" w:eastAsia="zh-CN" w:bidi="ar-SA"/>
        </w:rPr>
        <w:t xml:space="preserve">3、智能化水质自动监测站运行维护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智能站房系统集成站房动力监控、环境监控等设备状态信息，实现对站房环境的智能监控和管理。系统通过对室内温度湿度、室内空气质量、气压（设备用气瓶）、动力环境（站房电流电压、UPS状态等）、水浸、烟雾等进行监控，并对空调、新风进行远程控制，实现对仪器运行环境的自动调节，为仪器设备的稳定运行保驾护航，提高监测数据的稳定性和准确性。</w:t>
      </w:r>
      <w:r>
        <w:rPr>
          <w:rFonts w:hint="eastAsia" w:ascii="Times New Roman" w:hAnsi="Times New Roman" w:eastAsia="宋体" w:cs="宋体"/>
          <w:b w:val="0"/>
          <w:bCs w:val="0"/>
          <w:sz w:val="24"/>
          <w:szCs w:val="21"/>
        </w:rPr>
        <w:tab/>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当站房环境参数出现异常时，系统可自动通过平台、移动端、本地声光等方式发出告警，通知站房运维人员，并记录历史数据和告警事件，保证现场各监测设备的运行环境正常，从而实现设备、环境的集中智能监控维护管理，提高自动监测设备的可靠性及监测数据的准确性和连续性。</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①虚拟站房智能应用，多方位一览站房概况</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虚拟站房应用模块将站房环境参数物象化、可视化，实时展示站房环境参数监测数据，及时、直观地掌握站房运行状态。</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②环境保障自动化运行</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当站房内温湿度、室内空气质量超出系统设定值时，系统将自动调节空调的运行模式，自动进行通风换气，保障站房的运行环境正常，保证监测整个过程符合监测要求。</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③节能化运行</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根据季节及天气变化形成的室内环境及室外气象环境的监测数据的不同，智能化运行空调和新风系统，空闲时关机停运，需要时启动运行。</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④智能化运行判断</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根据水质监测系统采水单元受外部影响较多的情况，根据采水泵运行时的电流变化，及时统计和分析采水泵的运行状态，异常时及时作出警示。有效解决采水泵故障发现不及时、采水系统冲毁发现不及时等问题，减少停运时间。</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⑤电力运行保障</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接入UPS电源及智能电表的相关状态和信息，掌握电力供应状态，异常时及时自动作出处置。当异常断电是自动切换UPS电源；当出现过欠压时自动断电保护；当关键大功率设备电流异常时（空调、水泵）停止该设备运行。实时记录和上传相关运行状态和日志信息，实时上报各种异常及发出告警提示。</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⑥安全监控</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设置水浸、振动、门禁状态、红外侦测、气瓶压力监控等传感，当站点发生异常和非法入侵时，现场发出声光报警、向平台和手机APP推送警示信息。触发监控摄像机实现自动拍照及录像，提供事后查询、举证依据等，保障仪器资产与监测数据的安全。</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⑦消防保障</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设置温度传感和烟雾传感，当出现异常状态时，触发监控摄像机实行自动拍照和进行火点侦测。火点确认后，主动对水站监测系统进行断电保护，开启消防气体灭火电动阀进行气体灭火，同时现场发出声光报警、向平台和手机APP推送警示信息。有效减少火灾造成的损失，保障固定资产。</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⑧手机APP实时监控，远程掌握站房情况</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通过手机APP，可对站房环境参数监测数据进行远程查看。当环境参数监测数据发生异常，APP界面主动提示日志信息，显示明显的告警状态。另外，现场发生异常时，触发监控摄像机实现自动拍照及录像，也可实时通过监控画面查看站房内环境详情，实时查看站点的异常情况。维护人员采用手机APP实时掌握现场情况，及时的进行针对性的人工维护，有效减少异常情况对于在线监测系统正常运行的影响，有效保障水质在线监测系统的数据有效率。</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1</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无人化运维管理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创新水质自动监测站运行维护模式，在全过程智能感知的基础上，运用物联网、大数据、云计算等手段，系统能对监测站进行远程控制和智能调控，降低人工干预。每日、每周、每月自动对仪器质量进行质控，对关键节点进行监管，自动识别异常、故障情况并通过内置故障处理模型进行自动修复。</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1）</w:t>
      </w:r>
      <w:r>
        <w:rPr>
          <w:rFonts w:hint="eastAsia" w:ascii="Times New Roman" w:hAnsi="Times New Roman" w:eastAsia="宋体" w:cs="宋体"/>
          <w:b w:val="0"/>
          <w:bCs w:val="0"/>
          <w:sz w:val="24"/>
          <w:szCs w:val="21"/>
        </w:rPr>
        <w:t xml:space="preserve">远程运维</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本项目运用物联网技术和移动应用技术，打通信息化平台、智慧站房、运维APP之间的信息流路。</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平台和APP上可以对目标站点进行远程维护，功能包括空白校准、标样校准、零点核查、跨度核查、日志补传等功能。只有被授权的账户具备相应站点的远程运维权限，远程运维操作记录会在平台和基站软件中保存，确保运维的规范性和可溯源性。</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2）</w:t>
      </w:r>
      <w:r>
        <w:rPr>
          <w:rFonts w:hint="eastAsia" w:ascii="Times New Roman" w:hAnsi="Times New Roman" w:eastAsia="宋体" w:cs="宋体"/>
          <w:b w:val="0"/>
          <w:bCs w:val="0"/>
          <w:sz w:val="24"/>
          <w:szCs w:val="21"/>
        </w:rPr>
        <w:t xml:space="preserve">远程巡检</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运维人员应每天通过平台查看监测数据，对水站运行状态和数据质量进行相应判断，对站点的运维情况及相关信息进行统计和评价。</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每日对水站运行条件及设备运行状况进行远程查看，具体工作如下:</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a）检查数据采集与传输状况，确认是否获取了水站全部仪器的监测数据和过程日志；</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b）根据仪器每日质控结果、仪器分析流程、过程日志判断仪器运行情况及数据的可靠性；</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c）对前一天监测数据有效性进行审核，并对异常数据进行标记同时阐述异常原因，形成监测数据审核日志；</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d）远程监视采水设施、水位以及站房内外情况，如发现异常，应及时前往现场处理并上报至主管部门；</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e）远程查看是否存在非法入侵行为。</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3）</w:t>
      </w:r>
      <w:r>
        <w:rPr>
          <w:rFonts w:hint="eastAsia" w:ascii="Times New Roman" w:hAnsi="Times New Roman" w:eastAsia="宋体" w:cs="宋体"/>
          <w:b w:val="0"/>
          <w:bCs w:val="0"/>
          <w:sz w:val="24"/>
          <w:szCs w:val="21"/>
        </w:rPr>
        <w:t xml:space="preserve">远程控制</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a）通过远程控制，可对监测仪器进行校时、复位、测试、校准、清洗、24小时零点漂移和跨度漂移核查、标液核查、参数流程分析日志提取、运行模式、运行周期</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监测频次</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、数据补采和留样控制等维护工作；</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b）当监测数据出现异常时，运维人员远程控制提取预处理进样流程、仪器测试流程日志进行分析，必要时发送质控测试命令，根据测试结果、流程日志分析综合判断数据的有效性。一旦确定水质发生重大变化或仪器设备故障，应及时赶赴现场处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4）</w:t>
      </w:r>
      <w:r>
        <w:rPr>
          <w:rFonts w:hint="eastAsia" w:ascii="Times New Roman" w:hAnsi="Times New Roman" w:eastAsia="宋体" w:cs="宋体"/>
          <w:b w:val="0"/>
          <w:bCs w:val="0"/>
          <w:sz w:val="24"/>
          <w:szCs w:val="21"/>
        </w:rPr>
        <w:t xml:space="preserve">派单式运维</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用派单式运维代替传统的周期性运维，建立运维工作快速响应机制，即能够保障运维工作质量，又能够降低人员管理成本。</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本项目使用运维智能化管理、考核系统。建立面向运维单位、运维人员的人脸库、能力库、成绩库。作为派单优先级依据和评估指标。</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站房对自身状态进行自诊断，将诊断结论上传至平台。平台结合站房故障特征，指定运维人员，将故障可能原因和所需工具耗材知识打包发送至运维人员手机APP上，并给定运维日期。</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平台结合工单内容和站房被维护后的健康度数据，给出相对客观的运维质量评估。质量评估会影响平台以后的派单策略。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（1）根据个人运维工单并结合站点运行情况，对运维人员的工作质量给出评分。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（2）可根据电子运维台账和站点运行数据批量生成、导出月度运维质量报告和站点质控报告。</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（3）对单个站点的超标情况、故障情况、质控不合格情况进行分析统计，形成站点运行质量评分或排名，作为运维质量的考核依据。</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5）</w:t>
      </w:r>
      <w:r>
        <w:rPr>
          <w:rFonts w:hint="eastAsia" w:ascii="Times New Roman" w:hAnsi="Times New Roman" w:eastAsia="宋体" w:cs="宋体"/>
          <w:b w:val="0"/>
          <w:bCs w:val="0"/>
          <w:sz w:val="24"/>
          <w:szCs w:val="21"/>
        </w:rPr>
        <w:t xml:space="preserve">智能化应用</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依托智能警戒球机、全景AI摄像头、云计算、大数据和人工智能等新技术，使用计算机模仿人类视觉系统技术，建立一套符合环保特色的算法框架体系。通过AI视频分析技术让前端普通摄像头拥有类似人类眼睛所提取、处理、理解和分析图像以及图像序列的能力。可根据不同场景、不同事件自动识别，实现从被动发现向主动发现转变，达到“智能发现－智能预警－实时监控－抓拍取证”闭环管理，提升智能预警和防范人为干扰能力。电子围栏主要监控识别以下情形：</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（1）非运维人员违规进入站房及取水采样口周边的；</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（2）河流改道或断流；</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（3）设置人工喷泉、曝气等设施；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（4）河道整治施工；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（5）投放生物、化学药剂等；</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（6）破坏监测设备、采水设施、电力和通讯线路、其它辅助设施；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（7）其他人为干扰监测行为。</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智能算法能自主学习可升级。梳理优化自动监测站管理流程，挖掘和深化防范人为干扰监测数据的应用场景，实现与系统无缝衔接，提高系统的实用性和操作性，有效剔除飞鸟、动物、树叶等干扰，不断提高智能预警的有效性、准确性和全面性。</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6）</w:t>
      </w:r>
      <w:r>
        <w:rPr>
          <w:rFonts w:hint="eastAsia" w:ascii="Times New Roman" w:hAnsi="Times New Roman" w:eastAsia="宋体" w:cs="宋体"/>
          <w:b w:val="0"/>
          <w:bCs w:val="0"/>
          <w:sz w:val="24"/>
          <w:szCs w:val="21"/>
        </w:rPr>
        <w:t xml:space="preserve">智能化审核</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传统数据处理框架局限于简单的预警规则，依赖大量的人工介入。为了提升数据的真实性、准确性、客观性，需要在数据审核的流程中引入AI智能方法，减少人工干预，在降本增效的同时全面保证数据质量。</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本项目构建一种融合数据标识处理、约束规则、统计学方法、机器学习方法的智能审核技术框架，运用物联网、大数据、云计算等手段，如下图所示。首先对监测数据进行处理，获取监测数据的历史记录、周期模式、趋势分析、环比变化、离群偏离、日志信息及质量控制数据等多维度数据，然后结合数据分布定位方法、滑动窗口分析方法、孤立森林方法、局部离群因子方法等方法进行综合判别。智能审核技术框架能够精准识别监测参数异常值，准确率提升30%，仅需要少量人员进行最终审核，完成降本增效，实现地表水水质监测数据“真、准、全、快、新”。</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2</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现场维护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1）</w:t>
      </w:r>
      <w:r>
        <w:rPr>
          <w:rFonts w:hint="eastAsia" w:ascii="Times New Roman" w:hAnsi="Times New Roman" w:eastAsia="宋体" w:cs="宋体"/>
          <w:b w:val="0"/>
          <w:bCs w:val="0"/>
          <w:sz w:val="24"/>
          <w:szCs w:val="21"/>
        </w:rPr>
        <w:t xml:space="preserve">仪器功能检查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a）分析仪器应具有自动标样核查、空白校准、标样校准等功能；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b）仪器应具有量程切换功能；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c）仪器应具有异常信息记录、上传功能，包括部件故障、超标报警、缺试剂报警等信息；</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d）仪器应具有过程日志记录功能；</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e）仪器应具有RS-232/485、TCP/IP等标准通讯接口；</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f）仪器应具有1小时1次的监测能力。</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2）</w:t>
      </w:r>
      <w:r>
        <w:rPr>
          <w:rFonts w:hint="eastAsia" w:ascii="Times New Roman" w:hAnsi="Times New Roman" w:eastAsia="宋体" w:cs="宋体"/>
          <w:b w:val="0"/>
          <w:bCs w:val="0"/>
          <w:sz w:val="24"/>
          <w:szCs w:val="21"/>
        </w:rPr>
        <w:t xml:space="preserve">例行巡检</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a）检查采水点水体颜色、嗅味、漂浮物、水位变化、上下游是否新增不明排口，以及采水周围杂物存在情况，并及时对采水口进行清理与清洗，同时检查采水口是否存在人为干扰情况，如增设人工喷泉、曝氧设施、投放生物、化学药剂等情况；</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b）检查站房空调及取水管路保温措施，保持站房内部处于恒温恒湿环境；检查站房内超声波、空压机、除藻装置固定情况，避免设备振动的影响；消防器材是否在最优状态；检查空压机、不间断电源(UPS)、除藻装置等辅助设备运行状态，定期更换耗材，保证辅助设备在最佳状态下运行；</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c）检查水站电路系统是否正常，接地线路是否牢靠，检查采样和排水管路是否有漏液或堵塞现象；</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d）检查采配水单元是否正常，如采水浮筒固定情况、自吸泵、增压泵、空气泵等运行情况；各手阀、电动球阀工作情况等；每次巡检时应清洗采配水单元，包括采水头、泵体、沉降池、过滤头、水样杯、阀门及相关管路等，对于无法清洗干净的应及时更换；</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e）检查控制单元运行状态是否正常，工控机操作系统及软件有无中毒现象；</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f）检查上传至平台的数据与现场数据的一致性；检查上传至平台的流程日志与现场各仪器端日志的一致性；检查仪器与控制单元的通讯线路是否正常；</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g）查看水质监测仪器的运行状态，判断运行是否正常；检查有无漏液；定期更换耗材；</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h）检查试剂、纯水损耗状况，是否需要添加或更换试剂；检查试剂冰箱运行是否正常；所用纯水和试剂须达到相关技术要求，更换周期不得超过规定的试剂保质期；</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i）检查留样器运行是否正常，如样品保持的温度、样品体积、是否密封性完整、是否自动留样和排样、留样前样品杯是否保持干涸状态；</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j）应及时清除站房周围的杂草和积水，站房是否有漏水现象，检查防雷设施是否牢靠，站房外围的其他设施是否有损坏或被水淹没，在封冻期来临前做好采水管路和站房保温等维护工作；</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k）整理站房及仪器保持站房及各仪器干净整洁，及时关闭门窗，避免日光直射仪器设备；</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l）定期对废液进行收集处理，并做好相关记录；废液的储存、转移、运输和处置严格按有关规定执行。</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3）</w:t>
      </w:r>
      <w:r>
        <w:rPr>
          <w:rFonts w:hint="eastAsia" w:ascii="Times New Roman" w:hAnsi="Times New Roman" w:eastAsia="宋体" w:cs="宋体"/>
          <w:b w:val="0"/>
          <w:bCs w:val="0"/>
          <w:sz w:val="24"/>
          <w:szCs w:val="21"/>
        </w:rPr>
        <w:t xml:space="preserve">定期养护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水站定期养护项目及最低频次不得低于下表要求。</w:t>
      </w:r>
      <w:r/>
    </w:p>
    <w:p>
      <w:pPr>
        <w:ind w:firstLine="560"/>
        <w:jc w:val="center"/>
        <w:rPr>
          <w:rFonts w:hint="eastAsia" w:ascii="Times New Roman" w:hAnsi="Times New Roman" w:eastAsia="宋体" w:cs="Times New Roman"/>
          <w:b/>
          <w:bCs/>
          <w:sz w:val="24"/>
          <w:szCs w:val="28"/>
        </w:rPr>
      </w:pPr>
      <w:r>
        <w:rPr>
          <w:rFonts w:hint="eastAsia" w:ascii="Times New Roman" w:hAnsi="Times New Roman" w:eastAsia="宋体" w:cs="Times New Roman"/>
          <w:b w:val="0"/>
          <w:bCs w:val="0"/>
          <w:sz w:val="24"/>
          <w:szCs w:val="28"/>
        </w:rPr>
        <w:t xml:space="preserve">表定期养护内容及频次要求</w:t>
      </w:r>
      <w:r/>
    </w:p>
    <w:tbl>
      <w:tblPr>
        <w:tblStyle w:val="752"/>
        <w:tblW w:w="5173" w:type="pct"/>
        <w:jc w:val="center"/>
        <w:tblLayout w:type="autofit"/>
        <w:tblCellMar>
          <w:left w:w="10" w:type="dxa"/>
          <w:top w:w="0" w:type="dxa"/>
          <w:right w:w="10" w:type="dxa"/>
          <w:bottom w:w="0" w:type="dxa"/>
        </w:tblCellMar>
        <w:tblLook w:val="04A0" w:firstRow="1" w:lastRow="0" w:firstColumn="1" w:lastColumn="0" w:noHBand="0" w:noVBand="1"/>
      </w:tblPr>
      <w:tblGrid>
        <w:gridCol w:w="1060"/>
        <w:gridCol w:w="3505"/>
        <w:gridCol w:w="663"/>
        <w:gridCol w:w="663"/>
        <w:gridCol w:w="663"/>
        <w:gridCol w:w="663"/>
        <w:gridCol w:w="1391"/>
      </w:tblGrid>
      <w:tr>
        <w:trPr>
          <w:cantSplit/>
          <w:jc w:val="center"/>
          <w:trHeight w:val="475" w:hRule="exact"/>
          <w:tblHeader/>
        </w:trPr>
        <w:tc>
          <w:tcPr>
            <w:gridSpan w:val="2"/>
            <w:shd w:val="clear" w:color="auto" w:fill="ffffff"/>
            <w:tcBorders>
              <w:top w:val="single" w:color="auto" w:sz="4" w:space="0"/>
              <w:left w:val="single" w:color="auto" w:sz="4" w:space="0"/>
            </w:tcBorders>
            <w:tcW w:w="4565" w:type="dxa"/>
            <w:vAlign w:val="center"/>
            <w:textDirection w:val="lrTb"/>
            <w:noWrap w:val="false"/>
          </w:tcPr>
          <w:p>
            <w:pPr>
              <w:pStyle w:val="1088"/>
              <w:jc w:val="center"/>
              <w:spacing w:after="0" w:line="0" w:lineRule="atLeast"/>
              <w:rPr>
                <w:rFonts w:hint="eastAsia" w:ascii="Times New Roman" w:hAnsi="Times New Roman" w:eastAsia="宋体"/>
                <w:b/>
                <w:bCs/>
                <w:sz w:val="24"/>
                <w:szCs w:val="21"/>
              </w:rPr>
            </w:pPr>
            <w:r>
              <w:rPr>
                <w:rFonts w:hint="default" w:ascii="Times New Roman" w:hAnsi="Times New Roman" w:eastAsia="宋体"/>
                <w:b/>
                <w:bCs/>
                <w:color w:val="000000"/>
                <w:sz w:val="24"/>
                <w:szCs w:val="21"/>
              </w:rPr>
              <w:t xml:space="preserve">工作内容</w:t>
            </w:r>
            <w:r/>
          </w:p>
        </w:tc>
        <w:tc>
          <w:tcPr>
            <w:shd w:val="clear" w:color="auto" w:fill="ffffff"/>
            <w:tcBorders>
              <w:top w:val="single" w:color="auto" w:sz="4" w:space="0"/>
              <w:left w:val="single" w:color="auto" w:sz="4" w:space="0"/>
            </w:tcBorders>
            <w:tcW w:w="663" w:type="dxa"/>
            <w:vAlign w:val="center"/>
            <w:textDirection w:val="lrTb"/>
            <w:noWrap w:val="false"/>
          </w:tcPr>
          <w:p>
            <w:pPr>
              <w:pStyle w:val="1088"/>
              <w:jc w:val="center"/>
              <w:spacing w:after="0" w:line="0" w:lineRule="atLeast"/>
              <w:rPr>
                <w:rFonts w:hint="eastAsia" w:ascii="Times New Roman" w:hAnsi="Times New Roman" w:eastAsia="宋体"/>
                <w:b/>
                <w:bCs/>
                <w:sz w:val="24"/>
                <w:szCs w:val="21"/>
              </w:rPr>
            </w:pPr>
            <w:r>
              <w:rPr>
                <w:rFonts w:hint="default" w:ascii="Times New Roman" w:hAnsi="Times New Roman" w:eastAsia="宋体"/>
                <w:b/>
                <w:bCs/>
                <w:color w:val="000000"/>
                <w:sz w:val="24"/>
                <w:szCs w:val="21"/>
              </w:rPr>
              <w:t xml:space="preserve">月</w:t>
            </w:r>
            <w:r/>
          </w:p>
        </w:tc>
        <w:tc>
          <w:tcPr>
            <w:shd w:val="clear" w:color="auto" w:fill="ffffff"/>
            <w:tcBorders>
              <w:top w:val="single" w:color="auto" w:sz="4" w:space="0"/>
              <w:left w:val="single" w:color="auto" w:sz="4" w:space="0"/>
            </w:tcBorders>
            <w:tcW w:w="663" w:type="dxa"/>
            <w:vAlign w:val="center"/>
            <w:textDirection w:val="lrTb"/>
            <w:noWrap w:val="false"/>
          </w:tcPr>
          <w:p>
            <w:pPr>
              <w:pStyle w:val="1088"/>
              <w:jc w:val="center"/>
              <w:spacing w:after="0" w:line="0" w:lineRule="atLeast"/>
              <w:rPr>
                <w:rFonts w:hint="eastAsia" w:ascii="Times New Roman" w:hAnsi="Times New Roman" w:eastAsia="宋体"/>
                <w:b/>
                <w:bCs/>
                <w:sz w:val="24"/>
                <w:szCs w:val="21"/>
              </w:rPr>
            </w:pPr>
            <w:r>
              <w:rPr>
                <w:rFonts w:hint="default" w:ascii="Times New Roman" w:hAnsi="Times New Roman" w:eastAsia="宋体"/>
                <w:b/>
                <w:bCs/>
                <w:color w:val="000000"/>
                <w:sz w:val="24"/>
                <w:szCs w:val="21"/>
              </w:rPr>
              <w:t xml:space="preserve">季度</w:t>
            </w:r>
            <w:r/>
          </w:p>
        </w:tc>
        <w:tc>
          <w:tcPr>
            <w:shd w:val="clear" w:color="auto" w:fill="ffffff"/>
            <w:tcBorders>
              <w:top w:val="single" w:color="auto" w:sz="4" w:space="0"/>
              <w:left w:val="single" w:color="auto" w:sz="4" w:space="0"/>
            </w:tcBorders>
            <w:tcW w:w="663" w:type="dxa"/>
            <w:vAlign w:val="center"/>
            <w:textDirection w:val="lrTb"/>
            <w:noWrap w:val="false"/>
          </w:tcPr>
          <w:p>
            <w:pPr>
              <w:pStyle w:val="1088"/>
              <w:jc w:val="center"/>
              <w:spacing w:after="0" w:line="0" w:lineRule="atLeast"/>
              <w:rPr>
                <w:rFonts w:hint="eastAsia" w:ascii="Times New Roman" w:hAnsi="Times New Roman" w:eastAsia="宋体"/>
                <w:b/>
                <w:bCs/>
                <w:sz w:val="24"/>
                <w:szCs w:val="21"/>
              </w:rPr>
            </w:pPr>
            <w:r>
              <w:rPr>
                <w:rFonts w:hint="default" w:ascii="Times New Roman" w:hAnsi="Times New Roman" w:eastAsia="宋体"/>
                <w:b/>
                <w:bCs/>
                <w:color w:val="000000"/>
                <w:sz w:val="24"/>
                <w:szCs w:val="21"/>
              </w:rPr>
              <w:t xml:space="preserve">半年</w:t>
            </w:r>
            <w:r/>
          </w:p>
        </w:tc>
        <w:tc>
          <w:tcPr>
            <w:shd w:val="clear" w:color="auto" w:fill="ffffff"/>
            <w:tcBorders>
              <w:top w:val="single" w:color="auto" w:sz="4" w:space="0"/>
              <w:left w:val="single" w:color="auto" w:sz="4" w:space="0"/>
            </w:tcBorders>
            <w:tcW w:w="663" w:type="dxa"/>
            <w:vAlign w:val="center"/>
            <w:textDirection w:val="lrTb"/>
            <w:noWrap w:val="false"/>
          </w:tcPr>
          <w:p>
            <w:pPr>
              <w:pStyle w:val="1088"/>
              <w:jc w:val="center"/>
              <w:spacing w:after="0" w:line="0" w:lineRule="atLeast"/>
              <w:rPr>
                <w:rFonts w:hint="eastAsia" w:ascii="Times New Roman" w:hAnsi="Times New Roman" w:eastAsia="宋体"/>
                <w:b/>
                <w:bCs/>
                <w:sz w:val="24"/>
                <w:szCs w:val="21"/>
              </w:rPr>
            </w:pPr>
            <w:r>
              <w:rPr>
                <w:rFonts w:hint="default" w:ascii="Times New Roman" w:hAnsi="Times New Roman" w:eastAsia="宋体"/>
                <w:b/>
                <w:bCs/>
                <w:color w:val="000000"/>
                <w:sz w:val="24"/>
                <w:szCs w:val="21"/>
              </w:rPr>
              <w:t xml:space="preserve">年</w:t>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pStyle w:val="1088"/>
              <w:jc w:val="center"/>
              <w:spacing w:after="0" w:line="0" w:lineRule="atLeast"/>
              <w:rPr>
                <w:rFonts w:hint="eastAsia" w:ascii="Times New Roman" w:hAnsi="Times New Roman" w:eastAsia="宋体"/>
                <w:b/>
                <w:bCs/>
                <w:sz w:val="24"/>
                <w:szCs w:val="21"/>
              </w:rPr>
            </w:pPr>
            <w:r>
              <w:rPr>
                <w:rFonts w:hint="default" w:ascii="Times New Roman" w:hAnsi="Times New Roman" w:eastAsia="宋体"/>
                <w:b/>
                <w:bCs/>
                <w:color w:val="000000"/>
                <w:sz w:val="24"/>
                <w:szCs w:val="21"/>
              </w:rPr>
              <w:t xml:space="preserve">备注</w:t>
            </w:r>
            <w:r/>
          </w:p>
        </w:tc>
      </w:tr>
      <w:tr>
        <w:trPr>
          <w:cantSplit/>
          <w:jc w:val="center"/>
          <w:trHeight w:val="468" w:hRule="exact"/>
        </w:trPr>
        <w:tc>
          <w:tcPr>
            <w:shd w:val="clear" w:color="auto" w:fill="ffffff"/>
            <w:tcBorders>
              <w:top w:val="single" w:color="auto" w:sz="4" w:space="0"/>
              <w:left w:val="single" w:color="auto" w:sz="4" w:space="0"/>
            </w:tcBorders>
            <w:tcW w:w="1060" w:type="dxa"/>
            <w:vAlign w:val="center"/>
            <w:vMerge w:val="restart"/>
            <w:textDirection w:val="lrTb"/>
            <w:noWrap w:val="false"/>
          </w:tcPr>
          <w:p>
            <w:pPr>
              <w:pStyle w:val="1088"/>
              <w:jc w:val="center"/>
              <w:spacing w:after="0" w:line="0" w:lineRule="atLeast"/>
              <w:rPr>
                <w:rFonts w:hint="eastAsia" w:ascii="Times New Roman" w:hAnsi="Times New Roman" w:eastAsia="宋体"/>
                <w:color w:val="000000"/>
                <w:sz w:val="24"/>
                <w:szCs w:val="21"/>
              </w:rPr>
            </w:pPr>
            <w:r>
              <w:rPr>
                <w:rFonts w:hint="eastAsia" w:ascii="Times New Roman" w:hAnsi="Times New Roman" w:eastAsia="宋体"/>
                <w:color w:val="000000"/>
                <w:sz w:val="24"/>
                <w:szCs w:val="21"/>
              </w:rPr>
            </w:r>
            <w:r/>
          </w:p>
          <w:p>
            <w:pPr>
              <w:pStyle w:val="1088"/>
              <w:jc w:val="center"/>
              <w:spacing w:after="0" w:line="0" w:lineRule="atLeast"/>
              <w:rPr>
                <w:rFonts w:hint="eastAsia" w:ascii="Times New Roman" w:hAnsi="Times New Roman" w:eastAsia="宋体"/>
                <w:color w:val="000000"/>
                <w:sz w:val="24"/>
                <w:szCs w:val="21"/>
              </w:rPr>
            </w:pPr>
            <w:r>
              <w:rPr>
                <w:rFonts w:hint="default" w:ascii="Times New Roman" w:hAnsi="Times New Roman" w:eastAsia="宋体"/>
                <w:color w:val="000000"/>
                <w:sz w:val="24"/>
                <w:szCs w:val="21"/>
              </w:rPr>
              <w:t xml:space="preserve">站房</w:t>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消防设施更换</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68" w:hRule="exact"/>
        </w:trPr>
        <w:tc>
          <w:tcPr>
            <w:shd w:val="clear" w:color="auto" w:fill="ffffff"/>
            <w:tcBorders>
              <w:left w:val="single" w:color="auto" w:sz="4" w:space="0"/>
            </w:tcBorders>
            <w:tcW w:w="1060" w:type="dxa"/>
            <w:vAlign w:val="center"/>
            <w:vMerge w:val="continue"/>
            <w:textDirection w:val="lrTb"/>
            <w:noWrap w:val="false"/>
          </w:tcPr>
          <w:p>
            <w:pPr>
              <w:pStyle w:val="1088"/>
              <w:jc w:val="center"/>
              <w:spacing w:after="0" w:line="0" w:lineRule="atLeast"/>
              <w:rPr>
                <w:rFonts w:hint="eastAsia" w:ascii="Times New Roman" w:hAnsi="Times New Roman" w:eastAsia="宋体"/>
                <w:color w:val="000000"/>
                <w:sz w:val="24"/>
                <w:szCs w:val="21"/>
              </w:rPr>
            </w:pPr>
            <w:r>
              <w:rPr>
                <w:rFonts w:hint="eastAsia" w:ascii="Times New Roman" w:hAnsi="Times New Roman" w:eastAsia="宋体"/>
                <w:color w:val="000000"/>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eastAsia" w:ascii="Times New Roman" w:hAnsi="Times New Roman" w:eastAsia="宋体"/>
                <w:color w:val="000000"/>
                <w:sz w:val="24"/>
                <w:szCs w:val="21"/>
              </w:rPr>
              <w:t xml:space="preserve">防</w:t>
            </w:r>
            <w:r>
              <w:rPr>
                <w:rFonts w:hint="default" w:ascii="Times New Roman" w:hAnsi="Times New Roman" w:eastAsia="宋体"/>
                <w:color w:val="000000"/>
                <w:sz w:val="24"/>
                <w:szCs w:val="21"/>
              </w:rPr>
              <w:t xml:space="preserve">雷检测</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68" w:hRule="exact"/>
        </w:trPr>
        <w:tc>
          <w:tcPr>
            <w:shd w:val="clear" w:color="auto" w:fill="ffffff"/>
            <w:tcBorders>
              <w:left w:val="single" w:color="auto" w:sz="4" w:space="0"/>
            </w:tcBorders>
            <w:tcW w:w="1060" w:type="dxa"/>
            <w:vAlign w:val="center"/>
            <w:vMerge w:val="continue"/>
            <w:textDirection w:val="lrTb"/>
            <w:noWrap w:val="false"/>
          </w:tcPr>
          <w:p>
            <w:pPr>
              <w:pStyle w:val="1088"/>
              <w:jc w:val="center"/>
              <w:spacing w:after="0" w:line="0" w:lineRule="atLeast"/>
              <w:rPr>
                <w:rFonts w:hint="eastAsia" w:ascii="Times New Roman" w:hAnsi="Times New Roman" w:eastAsia="宋体"/>
                <w:color w:val="000000"/>
                <w:sz w:val="24"/>
                <w:szCs w:val="21"/>
              </w:rPr>
            </w:pPr>
            <w:r>
              <w:rPr>
                <w:rFonts w:hint="eastAsia" w:ascii="Times New Roman" w:hAnsi="Times New Roman" w:eastAsia="宋体"/>
                <w:color w:val="000000"/>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空调维护</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船体除外</w:t>
            </w:r>
            <w:r/>
          </w:p>
        </w:tc>
      </w:tr>
      <w:tr>
        <w:trPr>
          <w:cantSplit/>
          <w:jc w:val="center"/>
          <w:trHeight w:val="468" w:hRule="exact"/>
        </w:trPr>
        <w:tc>
          <w:tcPr>
            <w:shd w:val="clear" w:color="auto" w:fill="ffffff"/>
            <w:tcBorders>
              <w:left w:val="single" w:color="auto" w:sz="4" w:space="0"/>
            </w:tcBorders>
            <w:tcW w:w="1060" w:type="dxa"/>
            <w:vAlign w:val="center"/>
            <w:textDirection w:val="lrTb"/>
            <w:noWrap w:val="false"/>
          </w:tcPr>
          <w:p>
            <w:pPr>
              <w:pStyle w:val="1088"/>
              <w:spacing w:after="0" w:line="0" w:lineRule="atLeast"/>
              <w:rPr>
                <w:rFonts w:hint="eastAsia" w:ascii="Times New Roman" w:hAnsi="Times New Roman" w:eastAsia="宋体"/>
                <w:color w:val="000000"/>
                <w:sz w:val="24"/>
                <w:szCs w:val="21"/>
              </w:rPr>
            </w:pPr>
            <w:r>
              <w:rPr>
                <w:rFonts w:hint="eastAsia" w:ascii="Times New Roman" w:hAnsi="Times New Roman" w:eastAsia="宋体"/>
                <w:color w:val="000000"/>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color w:val="000000"/>
                <w:sz w:val="24"/>
                <w:szCs w:val="21"/>
              </w:rPr>
            </w:pPr>
            <w:r>
              <w:rPr>
                <w:rFonts w:hint="eastAsia" w:ascii="Times New Roman" w:hAnsi="Times New Roman" w:eastAsia="宋体"/>
                <w:color w:val="000000"/>
                <w:sz w:val="24"/>
                <w:szCs w:val="21"/>
              </w:rPr>
              <w:t xml:space="preserve">船体清洗</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Ms.Luce"/>
                <w:color w:val="333333"/>
                <w:sz w:val="24"/>
                <w:szCs w:val="21"/>
                <w:shd w:val="clear" w:color="auto" w:fill="ffffff"/>
              </w:rPr>
            </w:pPr>
            <w:r>
              <w:rPr>
                <w:rFonts w:hint="eastAsia" w:ascii="Times New Roman" w:hAnsi="Times New Roman" w:eastAsia="宋体" w:cs="Ms.Luce"/>
                <w:color w:val="333333"/>
                <w:sz w:val="24"/>
                <w:szCs w:val="21"/>
                <w:shd w:val="clear" w:color="auto" w:fill="ffffff"/>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75" w:hRule="exact"/>
        </w:trPr>
        <w:tc>
          <w:tcPr>
            <w:shd w:val="clear" w:color="auto" w:fill="ffffff"/>
            <w:tcBorders>
              <w:top w:val="single" w:color="auto" w:sz="4" w:space="0"/>
              <w:left w:val="single" w:color="auto" w:sz="4" w:space="0"/>
            </w:tcBorders>
            <w:tcW w:w="1060" w:type="dxa"/>
            <w:vAlign w:val="center"/>
            <w:vMerge w:val="restart"/>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采配水单元</w:t>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潜水泵清洗</w:t>
            </w:r>
            <w:r/>
          </w:p>
        </w:tc>
        <w:tc>
          <w:tcPr>
            <w:shd w:val="clear" w:color="auto" w:fill="ffffff"/>
            <w:tcBorders>
              <w:top w:val="single" w:color="auto" w:sz="4" w:space="0"/>
              <w:left w:val="single" w:color="auto" w:sz="4" w:space="0"/>
            </w:tcBorders>
            <w:tcW w:w="663"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eastAsia" w:ascii="Times New Roman" w:hAnsi="Times New Roman" w:eastAsia="宋体"/>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61" w:hRule="exact"/>
        </w:trPr>
        <w:tc>
          <w:tcPr>
            <w:shd w:val="clear" w:color="auto" w:fill="ffffff"/>
            <w:tcBorders>
              <w:left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釆水辅助设施</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749" w:hRule="exact"/>
        </w:trPr>
        <w:tc>
          <w:tcPr>
            <w:shd w:val="clear" w:color="auto" w:fill="ffffff"/>
            <w:tcBorders>
              <w:left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lang w:eastAsia="zh-CN"/>
              </w:rPr>
            </w:pPr>
            <w:r>
              <w:rPr>
                <w:rFonts w:hint="eastAsia" w:ascii="Times New Roman" w:hAnsi="Times New Roman" w:eastAsia="宋体"/>
                <w:color w:val="000000"/>
                <w:sz w:val="24"/>
                <w:szCs w:val="21"/>
                <w:lang w:eastAsia="zh-CN"/>
              </w:rPr>
              <w:t xml:space="preserve">五参数检测池清洗</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自动清洗</w:t>
            </w:r>
            <w:r/>
          </w:p>
        </w:tc>
      </w:tr>
      <w:tr>
        <w:trPr>
          <w:cantSplit/>
          <w:jc w:val="center"/>
          <w:trHeight w:val="461" w:hRule="exact"/>
        </w:trPr>
        <w:tc>
          <w:tcPr>
            <w:shd w:val="clear" w:color="auto" w:fill="ffffff"/>
            <w:tcBorders>
              <w:left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沉淀池清洗</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自动清洗</w:t>
            </w:r>
            <w:r/>
          </w:p>
        </w:tc>
      </w:tr>
      <w:tr>
        <w:trPr>
          <w:cantSplit/>
          <w:jc w:val="center"/>
          <w:trHeight w:val="454" w:hRule="exact"/>
        </w:trPr>
        <w:tc>
          <w:tcPr>
            <w:shd w:val="clear" w:color="auto" w:fill="ffffff"/>
            <w:tcBorders>
              <w:left w:val="single" w:color="auto" w:sz="4" w:space="0"/>
              <w:bottom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水样杯清洗</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自动清洗</w:t>
            </w:r>
            <w:r/>
          </w:p>
        </w:tc>
      </w:tr>
      <w:tr>
        <w:trPr>
          <w:cantSplit/>
          <w:jc w:val="center"/>
          <w:trHeight w:val="625" w:hRule="exact"/>
        </w:trPr>
        <w:tc>
          <w:tcPr>
            <w:shd w:val="clear" w:color="auto" w:fill="ffffff"/>
            <w:tcBorders>
              <w:left w:val="single" w:color="auto" w:sz="4" w:space="0"/>
            </w:tcBorders>
            <w:tcW w:w="1060" w:type="dxa"/>
            <w:vAlign w:val="center"/>
            <w:vMerge w:val="restart"/>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分析单元</w:t>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color w:val="000000"/>
                <w:sz w:val="24"/>
                <w:szCs w:val="21"/>
              </w:rPr>
            </w:pPr>
            <w:r>
              <w:rPr>
                <w:rFonts w:hint="eastAsia" w:ascii="Times New Roman" w:hAnsi="Times New Roman" w:eastAsia="宋体"/>
                <w:color w:val="000000"/>
                <w:sz w:val="24"/>
                <w:szCs w:val="21"/>
              </w:rPr>
              <w:t xml:space="preserve">试剂更换</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可根据仪器要求执行</w:t>
            </w:r>
            <w:r/>
          </w:p>
        </w:tc>
      </w:tr>
      <w:tr>
        <w:trPr>
          <w:cantSplit/>
          <w:jc w:val="center"/>
          <w:trHeight w:val="666" w:hRule="exact"/>
        </w:trPr>
        <w:tc>
          <w:tcPr>
            <w:shd w:val="clear" w:color="auto" w:fill="ffffff"/>
            <w:tcBorders>
              <w:left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color w:val="000000"/>
                <w:sz w:val="24"/>
                <w:szCs w:val="21"/>
              </w:rPr>
            </w:pPr>
            <w:r>
              <w:rPr>
                <w:rFonts w:hint="eastAsia" w:ascii="Times New Roman" w:hAnsi="Times New Roman" w:eastAsia="宋体"/>
                <w:color w:val="000000"/>
                <w:sz w:val="24"/>
                <w:szCs w:val="21"/>
              </w:rPr>
              <w:t xml:space="preserve">耗材及配件更换</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Ms.Luce"/>
                <w:color w:val="333333"/>
                <w:sz w:val="24"/>
                <w:szCs w:val="21"/>
                <w:shd w:val="clear" w:color="auto" w:fill="ffffff"/>
              </w:rPr>
            </w:pPr>
            <w:r>
              <w:rPr>
                <w:rFonts w:hint="eastAsia" w:ascii="Times New Roman" w:hAnsi="Times New Roman" w:eastAsia="宋体" w:cs="Ms.Luce"/>
                <w:color w:val="333333"/>
                <w:sz w:val="24"/>
                <w:szCs w:val="21"/>
                <w:shd w:val="clear" w:color="auto" w:fill="ffffff"/>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可根据仪器要求执行</w:t>
            </w:r>
            <w:r/>
          </w:p>
        </w:tc>
      </w:tr>
      <w:tr>
        <w:trPr>
          <w:cantSplit/>
          <w:jc w:val="center"/>
          <w:trHeight w:val="811" w:hRule="exact"/>
        </w:trPr>
        <w:tc>
          <w:tcPr>
            <w:shd w:val="clear" w:color="auto" w:fill="ffffff"/>
            <w:tcBorders>
              <w:left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废液处置</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lang w:eastAsia="zh-CN"/>
              </w:rPr>
            </w:pPr>
            <w:r>
              <w:rPr>
                <w:rFonts w:hint="eastAsia" w:ascii="Times New Roman" w:hAnsi="Times New Roman" w:eastAsia="宋体" w:cs="Times New Roman"/>
                <w:sz w:val="24"/>
                <w:szCs w:val="21"/>
              </w:rPr>
              <w:t xml:space="preserve">可根据收集容量而定</w:t>
            </w:r>
            <w:r/>
          </w:p>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75" w:hRule="exact"/>
        </w:trPr>
        <w:tc>
          <w:tcPr>
            <w:shd w:val="clear" w:color="auto" w:fill="ffffff"/>
            <w:tcBorders>
              <w:left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保养检修</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307" w:hRule="exact"/>
        </w:trPr>
        <w:tc>
          <w:tcPr>
            <w:shd w:val="clear" w:color="auto" w:fill="ffffff"/>
            <w:tcBorders>
              <w:left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试剂贮存箱温度检查</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68" w:hRule="exact"/>
        </w:trPr>
        <w:tc>
          <w:tcPr>
            <w:shd w:val="clear" w:color="auto" w:fill="ffffff"/>
            <w:tcBorders>
              <w:top w:val="single" w:color="auto" w:sz="4" w:space="0"/>
              <w:left w:val="single" w:color="auto" w:sz="4" w:space="0"/>
            </w:tcBorders>
            <w:tcW w:w="1060" w:type="dxa"/>
            <w:vAlign w:val="center"/>
            <w:vMerge w:val="restart"/>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控制单元</w:t>
            </w:r>
            <w:r>
              <w:rPr>
                <w:rFonts w:hint="eastAsia" w:ascii="Times New Roman" w:hAnsi="Times New Roman" w:eastAsia="宋体"/>
                <w:color w:val="000000"/>
                <w:sz w:val="24"/>
                <w:szCs w:val="21"/>
              </w:rPr>
              <w:t xml:space="preserve">及</w:t>
            </w:r>
            <w:r>
              <w:rPr>
                <w:rFonts w:hint="default" w:ascii="Times New Roman" w:hAnsi="Times New Roman" w:eastAsia="宋体"/>
                <w:color w:val="000000"/>
                <w:sz w:val="24"/>
                <w:szCs w:val="21"/>
              </w:rPr>
              <w:t xml:space="preserve">通讯单元</w:t>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网络通讯设备检查</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42" w:hRule="exact"/>
        </w:trPr>
        <w:tc>
          <w:tcPr>
            <w:shd w:val="clear" w:color="auto" w:fill="ffffff"/>
            <w:tcBorders>
              <w:left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工控机检查</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68" w:hRule="exact"/>
        </w:trPr>
        <w:tc>
          <w:tcPr>
            <w:shd w:val="clear" w:color="auto" w:fill="ffffff"/>
            <w:tcBorders>
              <w:top w:val="single" w:color="auto" w:sz="4" w:space="0"/>
              <w:left w:val="single" w:color="auto" w:sz="4" w:space="0"/>
            </w:tcBorders>
            <w:tcW w:w="1060" w:type="dxa"/>
            <w:vAlign w:val="center"/>
            <w:vMerge w:val="restart"/>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辅助设备</w:t>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稳压电源检查</w:t>
            </w:r>
            <w:r/>
          </w:p>
        </w:tc>
        <w:tc>
          <w:tcPr>
            <w:shd w:val="clear" w:color="auto" w:fill="ffffff"/>
            <w:tcBorders>
              <w:top w:val="single" w:color="auto" w:sz="4" w:space="0"/>
              <w:left w:val="single" w:color="auto" w:sz="4" w:space="0"/>
            </w:tcBorders>
            <w:tcW w:w="663"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82" w:hRule="exact"/>
        </w:trPr>
        <w:tc>
          <w:tcPr>
            <w:shd w:val="clear" w:color="auto" w:fill="ffffff"/>
            <w:tcBorders>
              <w:left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lang w:val="en-US" w:eastAsia="en-US" w:bidi="en-US"/>
              </w:rPr>
              <w:t xml:space="preserve">UPS</w:t>
            </w:r>
            <w:r>
              <w:rPr>
                <w:rFonts w:hint="default" w:ascii="Times New Roman" w:hAnsi="Times New Roman" w:eastAsia="宋体"/>
                <w:color w:val="000000"/>
                <w:sz w:val="24"/>
                <w:szCs w:val="21"/>
              </w:rPr>
              <w:t xml:space="preserve">检查</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75" w:hRule="exact"/>
        </w:trPr>
        <w:tc>
          <w:tcPr>
            <w:shd w:val="clear" w:color="auto" w:fill="ffffff"/>
            <w:tcBorders>
              <w:left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空压机检查</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68" w:hRule="exact"/>
        </w:trPr>
        <w:tc>
          <w:tcPr>
            <w:shd w:val="clear" w:color="auto" w:fill="ffffff"/>
            <w:tcBorders>
              <w:left w:val="single" w:color="auto" w:sz="4" w:space="0"/>
            </w:tcBorders>
            <w:tcW w:w="1060" w:type="dxa"/>
            <w:vAlign w:val="center"/>
            <w:vMerge w:val="continue"/>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350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视频设备检查</w:t>
            </w:r>
            <w:r/>
          </w:p>
        </w:tc>
        <w:tc>
          <w:tcPr>
            <w:shd w:val="clear" w:color="auto" w:fill="ffffff"/>
            <w:tcBorders>
              <w:top w:val="single" w:color="auto" w:sz="4" w:space="0"/>
              <w:left w:val="single" w:color="auto" w:sz="4" w:space="0"/>
            </w:tcBorders>
            <w:tcW w:w="663"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r>
        <w:trPr>
          <w:cantSplit/>
          <w:jc w:val="center"/>
          <w:trHeight w:val="468" w:hRule="exact"/>
        </w:trPr>
        <w:tc>
          <w:tcPr>
            <w:gridSpan w:val="2"/>
            <w:shd w:val="clear" w:color="auto" w:fill="ffffff"/>
            <w:tcBorders>
              <w:top w:val="single" w:color="auto" w:sz="4" w:space="0"/>
              <w:left w:val="single" w:color="auto" w:sz="4" w:space="0"/>
              <w:bottom w:val="single" w:color="auto" w:sz="4" w:space="0"/>
            </w:tcBorders>
            <w:tcW w:w="4565" w:type="dxa"/>
            <w:vAlign w:val="center"/>
            <w:textDirection w:val="lrTb"/>
            <w:noWrap w:val="false"/>
          </w:tcPr>
          <w:p>
            <w:pPr>
              <w:pStyle w:val="1088"/>
              <w:jc w:val="center"/>
              <w:spacing w:after="0" w:line="0" w:lineRule="atLeast"/>
              <w:rPr>
                <w:rFonts w:hint="eastAsia" w:ascii="Times New Roman" w:hAnsi="Times New Roman" w:eastAsia="宋体"/>
                <w:sz w:val="24"/>
                <w:szCs w:val="21"/>
              </w:rPr>
            </w:pPr>
            <w:r>
              <w:rPr>
                <w:rFonts w:hint="default" w:ascii="Times New Roman" w:hAnsi="Times New Roman" w:eastAsia="宋体"/>
                <w:color w:val="000000"/>
                <w:sz w:val="24"/>
                <w:szCs w:val="21"/>
              </w:rPr>
              <w:t xml:space="preserve">自动采样器</w:t>
            </w:r>
            <w:r/>
          </w:p>
        </w:tc>
        <w:tc>
          <w:tcPr>
            <w:shd w:val="clear" w:color="auto" w:fill="ffffff"/>
            <w:tcBorders>
              <w:top w:val="single" w:color="auto" w:sz="4" w:space="0"/>
              <w:left w:val="single" w:color="auto" w:sz="4" w:space="0"/>
              <w:bottom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Ms.Luce"/>
                <w:color w:val="333333"/>
                <w:sz w:val="24"/>
                <w:szCs w:val="21"/>
                <w:shd w:val="clear" w:color="auto" w:fill="ffffff"/>
              </w:rPr>
              <w:t xml:space="preserve">√</w:t>
            </w:r>
            <w:r/>
          </w:p>
        </w:tc>
        <w:tc>
          <w:tcPr>
            <w:shd w:val="clear" w:color="auto" w:fill="ffffff"/>
            <w:tcBorders>
              <w:top w:val="single" w:color="auto" w:sz="4" w:space="0"/>
              <w:left w:val="single" w:color="auto" w:sz="4" w:space="0"/>
              <w:bottom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bottom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bottom w:val="single" w:color="auto" w:sz="4" w:space="0"/>
            </w:tcBorders>
            <w:tcW w:w="663"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shd w:val="clear" w:color="auto" w:fill="ffffff"/>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after="0" w:line="0" w:lineRule="atLeas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r>
    </w:tbl>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（1）站房</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a）定期对站房进行全面的养护；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b）保证站房内空调及供暖设施运行正常；</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c）定期对站房内灭火装置进行维护。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（2）采配水单元</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a）定期检查采水、配水单元是否正常运行，清洗采水头。</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b）定期清洗潜水泵的泵体、载体；检查取水管路是否弯折、畅通。</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c）定期清理一次采水头周边杂物，泥沙含量大或藻类密集的断面应视情况增加清理频次，一般不宜超过4天。</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d）定期清洗五参数检测池、沉淀池、过滤器、水样杯。</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e）定期清洗一次采配水单元的取水管路、配水管路和采样杯等部件，保证采水系统的保温、防冻、防压、防淤、防撞措施有效。</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（3）分析单元</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a）定期按需对监测仪器进行校准；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b）应定期更换易耗品及备品备件；</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c）定期清洗和更换仪器管路；</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d）建立零配件库，根据不同零配件和易耗件的使用情况提前备货；</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e）应根据试剂的更换周期定期更换试剂，试剂更换后，应按需求进行仪器校准或标液核查，同时更换时应做好记录；</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f）应根据使用寿命定期更换监测仪器的光源、电极、泵、阀、传感器等关键零部件；定期对监测仪器光路、液路、电路板和各种接头及插座等进行检查和清洁处理。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（4）控制单元及通讯单元</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a）定期复位工控机查看是否可以自动启动，并运行操作系统、加载现场监控软件，查看串口通讯是否正常；</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b）定期对网络通讯设备进行重启，查看启动后是否通讯正常；</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c）每月检查开机过程中硬件自检过程是否有异常数据传输和报警。</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（5）辅助设备</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a）定期检查稳压电源及UPS的输出是否符合技术要求，异常情况须及时排查处理；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b）定期检查一次空气压缩机气泵和清水增压泵的工作状况，并对空气过滤器进行放水；</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c）定期检查并清洗自动留样器取样头滤网，检查采样泵、采样分配单元、低温冷藏模块、传感器等的工作状况是否正常，采样瓶是否清洁、是否破损；</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d）定期检查摄像头是否破损，视频设备功能是否正常，包括摄像机、视频存储、云台控制等。</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4）</w:t>
      </w:r>
      <w:r>
        <w:rPr>
          <w:rFonts w:hint="eastAsia" w:ascii="Times New Roman" w:hAnsi="Times New Roman" w:eastAsia="宋体" w:cs="宋体"/>
          <w:b w:val="0"/>
          <w:bCs w:val="0"/>
          <w:sz w:val="24"/>
          <w:szCs w:val="21"/>
        </w:rPr>
        <w:t xml:space="preserve">质控多元化管理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结合远程质控和现场质控方法，在质控策略上采取零点核查、跨度核查、误差核查、多点线性核查、加标回收测试、集成干预测试和采样信息跟踪、采样质控、系统及仪器分析过程日志等多级质控管理体系，及时诊断分析设备“健康”状况。通过对运维与质控体系检查、盲样考核等方式，实现水质自动监测站全方位、立体化“体检”全覆盖。在质量控制的框架内，严格监控关键参数的上传，确保详尽的日志记录得以保存，同时提供实时的仪器性能监控功能。每一条数据均具备完整的追踪溯源，以保证数据的准确性和科学性。质控实施频次及要求如下：</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（1）高锰酸盐指数、氨氮、总磷、总氮、生物毒性、挥发酚、重金属等参数，每24小时至少进行1次零点核查和跨度核查；每月至少进行1次多点线性核查；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（2）针对Ⅲ～劣Ⅴ类水体，监测参数每月至少进行1次实际水样比对，Ⅰ、Ⅱ类水体至少半年进行一次实际水样比对；</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（3）针对Ⅲ～劣Ⅴ类水体，氨氮、高锰酸盐指数、总磷、总氮每月至少进行1次加标回收、集成干预（浊度大于1000NTU可不进行集成干预检查）；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（4）常规五参数应每月进行一次实际水样比对；每7天进行一次自动标样核查。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3</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应急维护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1）</w:t>
      </w:r>
      <w:r>
        <w:rPr>
          <w:rFonts w:hint="eastAsia" w:ascii="Times New Roman" w:hAnsi="Times New Roman" w:eastAsia="宋体" w:cs="宋体"/>
          <w:b w:val="0"/>
          <w:bCs w:val="0"/>
          <w:sz w:val="24"/>
          <w:szCs w:val="21"/>
        </w:rPr>
        <w:t xml:space="preserve">异常数据处置</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a）监测的数据中断；</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b）监测数据长时间不变或短时间突变；</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c）监测仪器设备状态参数异常、过程日志异常或监测仪器设备故障的监测数据；</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d）通过监测项目之间相关性分析、气象条件、水站所在地历史数据分析认为明显违背常理的监测数据。</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e）发生数据异常情况时，根据现场情况应采取标样核查、现场排查、实际水样比对等措施进行排查，查明并分析原因，记录备案并上报。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f）当水质监测数据异常或水质下降至水质类别发生变化时应启动留样（船体除外），留样后应按照应急维护要求执行。</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g）确认仪器通讯存在障碍或仪器状态异常、仪器故障的，应尽快前往现场查明原因，进行故障处理；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h）远程启动标样核查，核查未通过时应前往现场查明原因，进行故障处理。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2）</w:t>
      </w:r>
      <w:r>
        <w:rPr>
          <w:rFonts w:hint="eastAsia" w:ascii="Times New Roman" w:hAnsi="Times New Roman" w:eastAsia="宋体" w:cs="宋体"/>
          <w:b w:val="0"/>
          <w:bCs w:val="0"/>
          <w:sz w:val="24"/>
          <w:szCs w:val="21"/>
        </w:rPr>
        <w:t xml:space="preserve">水站系统异常处理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a）当水站出现故障时运维单位应在规定时间内响应并解决；</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eastAsia="zh-CN"/>
        </w:rPr>
      </w:pPr>
      <w:r>
        <w:rPr>
          <w:rFonts w:hint="eastAsia" w:ascii="Times New Roman" w:hAnsi="Times New Roman" w:eastAsia="宋体" w:cs="宋体"/>
          <w:b w:val="0"/>
          <w:bCs w:val="0"/>
          <w:sz w:val="24"/>
          <w:szCs w:val="21"/>
        </w:rPr>
        <w:t xml:space="preserve">b）对于在现场能够诊断明确且可通过更换备件解决的问题则在现场进行检修；</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c）对于其它不易诊断和检修的故障，或48小时内无法排除的仪器故障，应采用备用仪器替代发生故障的仪器，同时对备机开展标样核查；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val="en-US" w:eastAsia="zh-CN"/>
        </w:rPr>
        <w:t xml:space="preserve">3）</w:t>
      </w:r>
      <w:r>
        <w:rPr>
          <w:rFonts w:hint="eastAsia" w:ascii="Times New Roman" w:hAnsi="Times New Roman" w:eastAsia="宋体" w:cs="宋体"/>
          <w:b w:val="0"/>
          <w:bCs w:val="0"/>
          <w:sz w:val="24"/>
          <w:szCs w:val="21"/>
        </w:rPr>
        <w:t xml:space="preserve">水站停运要求</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1、水站如遇以下情形，可申请停运</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（1）因不可抗力导致水站无法正常运行的。包括台风、暴风雪、河流冰封等恶劣天气；地震、洪水、塌方等地质灾害；以及河道施工、自然断流等外部条件因素；</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（2）因水站内部仪器设备更新改造等原因影响水站正常运行；</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（3）因采水设施故障、采水点处水深不满足要求等原因导致采水系统不能正常运行。包括因枯水期河道水位降低，采水设施故障、采水管道冰冻等因素；</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（4）因给水和供电故障导致系统无法正常运行的；</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（5）因待测水体中的浊度太高采用现有的预处理方式确已无法满足仪器测定要求的。</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2、水站满足停运申请条件时，运维人员须在24小时内向监测部门提交停运申请，经监测部门确认，并上传相关佐证材料。佐证材料应能充分印证停运条件，包括有关部门发出的避险或台风预警信息、道路封闭或采水设施损毁的照片资料、供电公司停电通知、采水点水位情况等资料。</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3、水站仪器停运时长小于7天，须进行标液核查合格后恢复运行；停运时长7天以上（含7天），须进行多点线性核查后恢复运行。</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4、水站停运期间，除供电故障外，正常进行例行巡检，正常开展质控措施及实施频次，以保证仪器正常运行状态。若质控均合格，停运复站后，可不需全面进行多点线性核查和集成干预检查，仅针对出现过不合格的指标进行核查。</w:t>
      </w:r>
      <w:r/>
    </w:p>
    <w:p>
      <w:pPr>
        <w:ind w:firstLine="420"/>
        <w:jc w:val="both"/>
        <w:keepLines w:val="0"/>
        <w:keepNext w:val="0"/>
        <w:pageBreakBefore w:val="0"/>
        <w:spacing w:line="560" w:lineRule="exact"/>
        <w:widowControl w:val="off"/>
        <w:rPr>
          <w:rFonts w:hint="eastAsia" w:ascii="Times New Roman" w:hAnsi="Times New Roman" w:eastAsia="宋体" w:cs="宋体"/>
          <w:b/>
          <w:bCs w:val="0"/>
          <w:sz w:val="24"/>
          <w:szCs w:val="24"/>
          <w:lang w:val="en-US" w:eastAsia="zh-CN" w:bidi="ar-SA"/>
        </w:rPr>
        <w:outlineLvl w:val="1"/>
      </w:pPr>
      <w:r>
        <w:rPr>
          <w:rFonts w:hint="eastAsia" w:ascii="Times New Roman" w:hAnsi="Times New Roman" w:eastAsia="宋体" w:cs="宋体"/>
          <w:b/>
          <w:bCs w:val="0"/>
          <w:sz w:val="24"/>
          <w:szCs w:val="24"/>
          <w:lang w:val="en-US" w:eastAsia="zh-CN" w:bidi="ar-SA"/>
        </w:rPr>
        <w:t xml:space="preserve">4、水质监测浮标站运行维护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为了确保浮标站长期稳定运行，监测数据准确可靠；及时发现并处理设备故障，延长设备使用寿命。保障汛期及突发污染事件中的应急监测能力。制定水质监测浮标站运行维护方案。</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1</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日常巡检</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包括检查浮标体的稳固性、太阳能供电系统的运行状态、各传感器的工作情况以及数据传输的稳定性。巡检时需特别关注浮标体是否有倾斜或移位现象，太阳能板是否清洁无遮挡，蓄电池电量是否充足，各水质传感器（如pH、溶解氧、浊度等）是否正常工作，数据采集与传输模块是否实时上传数据至监管平台。此外，还需检查浮标体周围的警示灯和定位系统是否正常运行，确保浮标在夜间或恶劣天气下仍能被识别，避免与船只发生碰撞。</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2</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定期维护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主要包括对浮标体及附属设备的全面检查和维护。每月需对浮标体进行清洁，清除附着在浮标表面的藻类、泥沙等杂物，防止其对传感器造成干扰。每季度需检查浮标体的锚链和锚固系统，确保其牢固可靠，避免因水流或风浪导致浮标移位。同时，需对水质传感器进行校准，确保监测数据的准确性。每半年需更换一次蓄电池，并对太阳能供电系统进行全面检查，包括线路连接、电压输出等。每年需对浮标体进行整体检修，检查是否有腐蚀或损坏，必要时进行防腐处理或更换部件。</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定期对系统各检测仪器进行必要维护，包括试剂更换、耗件更换、仪器电极和管路的清洗、仪器的校准等工作，以保证仪器的运行正常，分析数据准确。</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3</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应急维护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针对突发故障或异常情况。当监测数据异常或中断时，需立即前往现场排查原因，检查传感器是否故障、供电系统是否正常、数据传输模块是否损坏等。若发现浮标体移位或倾覆，需及时复位并加固锚固系统。在汛期或极端天气条件下，需增加巡检频次，确保浮标体能够承受恶劣环境的冲击。对于无法立即修复的故障，需启动备用设备或临时监测方案，确保数据连续性。所有应急维护工作均需详细记录，并及时上报至管理部门。</w:t>
      </w:r>
      <w:r/>
    </w:p>
    <w:p>
      <w:pPr>
        <w:ind w:firstLine="420"/>
        <w:jc w:val="both"/>
        <w:keepLines w:val="0"/>
        <w:keepNext w:val="0"/>
        <w:pageBreakBefore w:val="0"/>
        <w:spacing w:line="560" w:lineRule="exact"/>
        <w:widowControl w:val="off"/>
        <w:rPr>
          <w:rFonts w:hint="default" w:ascii="Times New Roman" w:hAnsi="Times New Roman" w:eastAsia="宋体" w:cs="宋体"/>
          <w:b/>
          <w:bCs w:val="0"/>
          <w:sz w:val="24"/>
          <w:szCs w:val="24"/>
          <w:lang w:val="en-US" w:eastAsia="zh-CN" w:bidi="ar-SA"/>
        </w:rPr>
        <w:outlineLvl w:val="1"/>
      </w:pPr>
      <w:r>
        <w:rPr>
          <w:rFonts w:hint="eastAsia" w:ascii="Times New Roman" w:hAnsi="Times New Roman" w:eastAsia="宋体" w:cs="宋体"/>
          <w:b/>
          <w:bCs w:val="0"/>
          <w:sz w:val="24"/>
          <w:szCs w:val="24"/>
          <w:lang w:val="en-US" w:eastAsia="zh-CN" w:bidi="ar-SA"/>
        </w:rPr>
        <w:t xml:space="preserve">5、全自动多通道水质分析仪运维</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（1）日常巡检</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日常巡检需每日开展，覆盖系统整体运行状态与高锰酸盐指数、化学需氧量、总磷、总氮、氨氮五大分析模块，确保设备稳定与数据准确。</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1）设备外观与运行状态检查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先检查系统主机、各分析模块的外观，确认外壳无破损、变形，指示灯显示正常——如高锰酸盐指数模块的加热指示灯、化学需氧量模块的消解指示灯需与运行流程匹配，无闪烁或常亮异常。再倾听设备运行声音，主机风扇、各模块的泵体运行应无异响，若出现刺耳噪音或震动，需立即停机排查。同时查看供电与通信线路，电源线、数据线连接牢固，无松动、老化或破损，确保数据可正常传输至终端系统，无断联情况。</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2）水样采集与管路系统检查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重点检查采样管路，从采样口到各分析模块的管路无弯折、堵塞或泄漏，尤其关注总磷、总氮模块的进样管路——因这两类指标检测易受杂质影响，需确认管路内无沉淀或异物。观察水样流通状态，启动进样程序后，各模块的进样速度均匀，无断流、气泡过多现象；若发现氨氮模块进样缓慢，需检查过滤器是否堵塞，及时更换滤芯。此外，查看水样缓存池的液位，确保液位在正常范围内，避免因液位过低导致空抽，损坏泵体。</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3）试剂与耗材状态检查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逐一核查五大分析模块的试剂储备，高锰酸盐指数模块的高锰酸钾溶液、化学需氧量模块的重铬酸钾溶液、总磷模块的钼酸盐溶液、总氮模块的碱性过硫酸钾溶液、氨氮模块的纳氏试剂，均需保持液位在试剂瓶刻度线以上，无浑浊、沉淀或变色——如纳氏试剂若出现棕红色沉淀，需立即更换新试剂。同时检查耗材情况，各模块的比色皿无划痕、污染，消解管无破损，滤膜、反应管等易损耗材储备充足，确保单日检测需求可满足。</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4）数据准确性初步核查</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对比当日实时数据与历史同期数据，若某一模块数据出现异常波动——如化学需氧量数据突然较前日升高50%以上，需先排查是否为水样问题，再检查模块状态。抽取部分检测样本，进行平行样测试，如对同一水样分别在总磷、总氮模块重复检测2-3次，若平行样相对偏差超过5%，需检查模块的进样精度或反应条件。此外，查看各模块的空白值，高锰酸盐指数、氨氮等模块的空白吸光度需在规定范围内，若空白值过高，可能是试剂污染或管路残留，需及时处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（2）定期维护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定期维护按周、月、季度划分周期，针对五大分析模块的特性开展专项维护，保障设备长期稳定运行。</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1）每周维护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每周对各模块的比色系统进行清洁，用无水乙醇擦拭比色皿内壁，去除残留的试剂污渍——尤其是化学需氧量模块的比色皿，因消解后易有沉淀附着，需仔细擦拭至透明无杂质。检查各模块的泵体，对高锰酸盐指数、氨氮模块的进样泵、排废泵，滴加专用润滑油，确保泵体运转顺畅，同时查看泵管老化情况，若出现管壁变硬、龟裂，及时更换。此外，清理系统的废液桶，将废液分类收集处理，避免废液溢出腐蚀设备，清理后对废液桶接口进行密封检查，防止异味泄漏。</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2）每月维护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每月开展</w:t>
      </w:r>
      <w:r>
        <w:rPr>
          <w:rFonts w:hint="eastAsia" w:ascii="Times New Roman" w:hAnsi="Times New Roman" w:eastAsia="宋体" w:cs="宋体"/>
          <w:b w:val="0"/>
          <w:bCs w:val="0"/>
          <w:sz w:val="24"/>
          <w:szCs w:val="21"/>
          <w:lang w:val="en-US" w:eastAsia="zh-CN"/>
        </w:rPr>
        <w:t xml:space="preserve">五大模块的管路深度清洁，先用去离子水冲洗各模块管路3-5次，再根据模块特性使用专用清洗剂——如总磷、总氮模块需用稀盐酸浸泡管路1小时，去除内壁附着的磷酸盐、硝酸盐沉淀，最后用去离子水冲洗至中性。对各模块的消解单元进行维护，高锰酸盐指数模块的加热管、化学需氧量模块的消解炉，需检查加热均匀性，用温度检测仪测量不同区域温度，偏差超过±2℃时需校准；同时清理加热单元表面的污渍，避免影响加热效率。此外，校准各模块的进样体积，通过标准体积的试剂进行进样测试，若总磷模块的进样误差超过±3%，需调整泵体参数，确保进样精度。</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3）每季度维护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每季度对五大分析模块进行全面校准，准备各指标的标准溶液——如高锰酸盐指数（0.5mg/L、2.0mg/L、5.0mg/L）、化学需氧量（50mg/L、100mg/L、200mg/L）、总磷（</w:t>
      </w:r>
      <w:r>
        <w:rPr>
          <w:rFonts w:hint="eastAsia" w:ascii="Times New Roman" w:hAnsi="Times New Roman" w:eastAsia="宋体" w:cs="宋体"/>
          <w:b w:val="0"/>
          <w:bCs w:val="0"/>
          <w:sz w:val="24"/>
          <w:szCs w:val="21"/>
          <w:lang w:val="en-US" w:eastAsia="zh-CN"/>
        </w:rPr>
        <w:t xml:space="preserve">0.1mg/L、0.5mg/L、1.0mg/L）、总氮（1.0mg/L、5.0mg/L、10mg/L）、氨氮（0.2mg/L、1.0mg/L、5.0mg/L），按照各模块的校准流程，绘制标准曲线，确保相关系数R²≥0.999。检查各模块的光学系统，高锰酸盐指数、总氮等依赖分光光度法的模块，需清洁单色器、检测器，校准波长精度，若总氮模块的检测波长偏离220nm/275nm，需调整光学部件。此外，对系统主机进行维护，清理主机内部灰尘，检查电路板、电源模块的温度，测试各接口的通信稳定性，确保整个系统运行参数正常。</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（3）应急维护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针对系统突发故障，建立应急响应机制，快速排查并解决问题，减少对五大分析模块检测工作的影响。</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1）常见故障处理</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若某一分析模块报“无试剂”故障，先检查试剂瓶液位，若试剂充足，可能是试剂传感器故障，需清洁传感器探头，重新校准；如氨氮模块因纳氏试剂结晶堵塞传感器，可用稀盐酸浸泡探头后擦干，恢复检测。若模块出现“消解失败”，高锰酸盐指数模块需检查加热管是否损坏，用万用表测量电阻，确认损坏后更换；化学需氧量模块则需检查消解炉温度传感器，若传感器失灵，及时更换并重新校准温度。若数据异常且排除水样问题，总磷模块需检查反应试剂是否失效，更换新的钼酸盐溶液；总氮模块需确认碱性过硫酸钾是否在有效期内，若试剂受潮结块，需重新配制并更换。</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2）紧急停机与恢复</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当系统出现严重故障——如管路大量泄漏、试剂溅出，或主机冒烟、有焦糊味时，需立即按下紧急停机按钮，切断总电源，防止故障扩大。停机后，先处理现场安全隐患，如用耐腐蚀抹布清理泄漏的试剂（尤其是强酸性的化学需氧量试剂、强碱性的总氮试剂），避免腐蚀设备或造成人员伤害。随后排查故障原因，若为管路破裂，更换破损管路并重新连接；若为主机电源模块故障，联系专业维修人员更换配件。故障排除后，先进行空载测试，启动系统无异常后，再用标准溶液对五大分析模块进行单点校准，确认数据准确后，方可恢复正常检测。</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3）数据备份与恢复</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日常需每日自动备份系统数据，包括五大模块的检测结果、运行日志，备份文件存储在本地终端与云端，防止数据丢失。若出现数据丢失或错乱，如总磷模块的历史数据无法调取，先从云端恢复最近备份的数据，核对数据完整性；若云端备份也存在问题，可通过系统日志追溯检测时间、水样编号，结合人工记录的原始数据，补充完善检测报告。此外，定期测试数据恢复功能，每季度模拟一次数据丢失场景，验证恢复流程的有效性，确保在应急情况下数据可快速找回。</w:t>
      </w:r>
      <w:r/>
    </w:p>
    <w:p>
      <w:pPr>
        <w:ind w:firstLine="420"/>
        <w:jc w:val="both"/>
        <w:keepLines w:val="0"/>
        <w:keepNext w:val="0"/>
        <w:pageBreakBefore w:val="0"/>
        <w:spacing w:line="560" w:lineRule="exact"/>
        <w:widowControl w:val="off"/>
        <w:rPr>
          <w:rFonts w:hint="default" w:ascii="Times New Roman" w:hAnsi="Times New Roman" w:eastAsia="宋体" w:cs="宋体"/>
          <w:b/>
          <w:bCs w:val="0"/>
          <w:sz w:val="24"/>
          <w:szCs w:val="24"/>
          <w:lang w:val="en-US" w:eastAsia="zh-CN" w:bidi="ar-SA"/>
        </w:rPr>
        <w:outlineLvl w:val="1"/>
      </w:pPr>
      <w:r>
        <w:rPr>
          <w:rFonts w:hint="eastAsia" w:ascii="Times New Roman" w:hAnsi="Times New Roman" w:eastAsia="宋体" w:cs="宋体"/>
          <w:b/>
          <w:bCs w:val="0"/>
          <w:sz w:val="24"/>
          <w:szCs w:val="24"/>
          <w:lang w:val="en-US" w:eastAsia="zh-CN" w:bidi="ar-SA"/>
        </w:rPr>
        <w:t xml:space="preserve">6、智能管控终端运维</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1</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清洗与维护</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①定期清理采样柜内外部部，尽量保证柜体内干燥，防止各金属配件受潮腐蚀，保持外部清洁。</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②定期疏通采样管道，确保采样管道顺畅。</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③定期检查取水口，清理取水口附近的垃圾，确定取水通畅。</w:t>
      </w:r>
      <w:r/>
    </w:p>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lang w:val="en-US" w:eastAsia="zh-CN"/>
        </w:rPr>
        <w:t xml:space="preserve">2</w:t>
      </w:r>
      <w:r>
        <w:rPr>
          <w:rFonts w:hint="eastAsia" w:ascii="Times New Roman" w:hAnsi="Times New Roman" w:eastAsia="宋体" w:cs="宋体"/>
          <w:b w:val="0"/>
          <w:bCs w:val="0"/>
          <w:sz w:val="24"/>
          <w:szCs w:val="21"/>
          <w:lang w:eastAsia="zh-CN"/>
        </w:rPr>
        <w:t xml:space="preserve">）</w:t>
      </w:r>
      <w:r>
        <w:rPr>
          <w:rFonts w:hint="eastAsia" w:ascii="Times New Roman" w:hAnsi="Times New Roman" w:eastAsia="宋体" w:cs="宋体"/>
          <w:b w:val="0"/>
          <w:bCs w:val="0"/>
          <w:sz w:val="24"/>
          <w:szCs w:val="21"/>
        </w:rPr>
        <w:t xml:space="preserve">日常维护保养</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740"/>
        <w:gridCol w:w="4540"/>
      </w:tblGrid>
      <w:tr>
        <w:trPr/>
        <w:tc>
          <w:tcPr>
            <w:tcBorders>
              <w:top w:val="single" w:color="auto" w:sz="4" w:space="0"/>
              <w:left w:val="single" w:color="auto" w:sz="4" w:space="0"/>
              <w:bottom w:val="single" w:color="auto" w:sz="4" w:space="0"/>
              <w:right w:val="single" w:color="auto" w:sz="4" w:space="0"/>
            </w:tcBorders>
            <w:tcW w:w="1236"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2742"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维护项目</w:t>
            </w:r>
            <w:r/>
          </w:p>
        </w:tc>
        <w:tc>
          <w:tcPr>
            <w:tcBorders>
              <w:top w:val="single" w:color="auto" w:sz="4" w:space="0"/>
              <w:left w:val="single" w:color="auto" w:sz="4" w:space="0"/>
              <w:bottom w:val="single" w:color="auto" w:sz="4" w:space="0"/>
              <w:right w:val="single" w:color="auto" w:sz="4" w:space="0"/>
            </w:tcBorders>
            <w:tcW w:w="4544"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维护周期</w:t>
            </w:r>
            <w:r/>
          </w:p>
        </w:tc>
      </w:tr>
      <w:tr>
        <w:trPr/>
        <w:tc>
          <w:tcPr>
            <w:tcBorders>
              <w:top w:val="single" w:color="auto" w:sz="4" w:space="0"/>
              <w:left w:val="single" w:color="auto" w:sz="4" w:space="0"/>
              <w:bottom w:val="single" w:color="auto" w:sz="4" w:space="0"/>
              <w:right w:val="single" w:color="auto" w:sz="4" w:space="0"/>
            </w:tcBorders>
            <w:tcW w:w="1236" w:type="dxa"/>
            <w:textDirection w:val="lrTb"/>
            <w:noWrap w:val="false"/>
          </w:tcPr>
          <w:p>
            <w:pPr>
              <w:ind w:firstLine="480"/>
              <w:keepLines w:val="0"/>
              <w:keepNext w:val="0"/>
              <w:pageBreakBefore w:val="0"/>
              <w:spacing w:line="560" w:lineRule="exact"/>
              <w:widowControl w:val="off"/>
              <w:rPr>
                <w:rFonts w:hint="default"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2742"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系统管路的清洗</w:t>
            </w:r>
            <w:r/>
          </w:p>
        </w:tc>
        <w:tc>
          <w:tcPr>
            <w:tcBorders>
              <w:top w:val="single" w:color="auto" w:sz="4" w:space="0"/>
              <w:left w:val="single" w:color="auto" w:sz="4" w:space="0"/>
              <w:bottom w:val="single" w:color="auto" w:sz="4" w:space="0"/>
              <w:right w:val="single" w:color="auto" w:sz="4" w:space="0"/>
            </w:tcBorders>
            <w:tcW w:w="4544"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1个月（根据实际情况调整）</w:t>
            </w:r>
            <w:r/>
          </w:p>
        </w:tc>
      </w:tr>
      <w:tr>
        <w:trPr/>
        <w:tc>
          <w:tcPr>
            <w:tcBorders>
              <w:top w:val="single" w:color="auto" w:sz="4" w:space="0"/>
              <w:left w:val="single" w:color="auto" w:sz="4" w:space="0"/>
              <w:bottom w:val="single" w:color="auto" w:sz="4" w:space="0"/>
              <w:right w:val="single" w:color="auto" w:sz="4" w:space="0"/>
            </w:tcBorders>
            <w:tcW w:w="1236"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2742"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蠕动泵</w:t>
            </w:r>
            <w:r/>
          </w:p>
        </w:tc>
        <w:tc>
          <w:tcPr>
            <w:tcBorders>
              <w:top w:val="single" w:color="auto" w:sz="4" w:space="0"/>
              <w:left w:val="single" w:color="auto" w:sz="4" w:space="0"/>
              <w:bottom w:val="single" w:color="auto" w:sz="4" w:space="0"/>
              <w:right w:val="single" w:color="auto" w:sz="4" w:space="0"/>
            </w:tcBorders>
            <w:tcW w:w="4544"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6个月：更换蠕动泵管（按每天取样24次）（可根据每天实际采样多少次进行调整）；36个月：更换蠕动泵。</w:t>
            </w:r>
            <w:r/>
          </w:p>
        </w:tc>
      </w:tr>
      <w:tr>
        <w:trPr/>
        <w:tc>
          <w:tcPr>
            <w:tcBorders>
              <w:top w:val="single" w:color="auto" w:sz="4" w:space="0"/>
              <w:left w:val="single" w:color="auto" w:sz="4" w:space="0"/>
              <w:bottom w:val="single" w:color="auto" w:sz="4" w:space="0"/>
              <w:right w:val="single" w:color="auto" w:sz="4" w:space="0"/>
            </w:tcBorders>
            <w:tcW w:w="1236" w:type="dxa"/>
            <w:textDirection w:val="lrTb"/>
            <w:noWrap w:val="false"/>
          </w:tcPr>
          <w:p>
            <w:pPr>
              <w:ind w:firstLine="480"/>
              <w:keepLines w:val="0"/>
              <w:keepNext w:val="0"/>
              <w:pageBreakBefore w:val="0"/>
              <w:spacing w:line="560" w:lineRule="exact"/>
              <w:widowControl w:val="off"/>
              <w:rPr>
                <w:rFonts w:hint="default"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2742"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更换采样管</w:t>
            </w:r>
            <w:r/>
          </w:p>
        </w:tc>
        <w:tc>
          <w:tcPr>
            <w:tcBorders>
              <w:top w:val="single" w:color="auto" w:sz="4" w:space="0"/>
              <w:left w:val="single" w:color="auto" w:sz="4" w:space="0"/>
              <w:bottom w:val="single" w:color="auto" w:sz="4" w:space="0"/>
              <w:right w:val="single" w:color="auto" w:sz="4" w:space="0"/>
            </w:tcBorders>
            <w:tcW w:w="4544"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12个月：更换采样管。</w:t>
            </w:r>
            <w:r/>
          </w:p>
        </w:tc>
      </w:tr>
      <w:tr>
        <w:trPr/>
        <w:tc>
          <w:tcPr>
            <w:tcBorders>
              <w:top w:val="single" w:color="auto" w:sz="4" w:space="0"/>
              <w:left w:val="single" w:color="auto" w:sz="4" w:space="0"/>
              <w:bottom w:val="single" w:color="auto" w:sz="4" w:space="0"/>
              <w:right w:val="single" w:color="auto" w:sz="4" w:space="0"/>
            </w:tcBorders>
            <w:tcW w:w="1236"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lang w:val="en-US" w:eastAsia="zh-CN"/>
              </w:rPr>
            </w:pPr>
            <w:r>
              <w:rPr>
                <w:rFonts w:hint="eastAsia" w:ascii="Times New Roman" w:hAnsi="Times New Roman" w:eastAsia="宋体" w:cs="宋体"/>
                <w:b w:val="0"/>
                <w:bCs w:val="0"/>
                <w:sz w:val="24"/>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2742"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硅胶管</w:t>
            </w:r>
            <w:r>
              <w:rPr>
                <w:rFonts w:hint="eastAsia" w:ascii="Times New Roman" w:hAnsi="Times New Roman" w:eastAsia="宋体" w:cs="宋体"/>
                <w:b w:val="0"/>
                <w:bCs w:val="0"/>
                <w:sz w:val="24"/>
                <w:szCs w:val="21"/>
              </w:rPr>
              <w:tab/>
            </w:r>
            <w:r/>
          </w:p>
        </w:tc>
        <w:tc>
          <w:tcPr>
            <w:tcBorders>
              <w:top w:val="single" w:color="auto" w:sz="4" w:space="0"/>
              <w:left w:val="single" w:color="auto" w:sz="4" w:space="0"/>
              <w:bottom w:val="single" w:color="auto" w:sz="4" w:space="0"/>
              <w:right w:val="single" w:color="auto" w:sz="4" w:space="0"/>
            </w:tcBorders>
            <w:tcW w:w="4544" w:type="dxa"/>
            <w:textDirection w:val="lrTb"/>
            <w:noWrap w:val="false"/>
          </w:tcPr>
          <w:p>
            <w:pPr>
              <w:ind w:firstLine="480"/>
              <w:keepLines w:val="0"/>
              <w:keepNext w:val="0"/>
              <w:pageBreakBefore w:val="0"/>
              <w:spacing w:line="560" w:lineRule="exact"/>
              <w:widowControl w:val="off"/>
              <w:rPr>
                <w:rFonts w:hint="eastAsia" w:ascii="Times New Roman" w:hAnsi="Times New Roman" w:eastAsia="宋体" w:cs="宋体"/>
                <w:b w:val="0"/>
                <w:bCs w:val="0"/>
                <w:sz w:val="24"/>
                <w:szCs w:val="21"/>
              </w:rPr>
            </w:pPr>
            <w:r>
              <w:rPr>
                <w:rFonts w:hint="eastAsia" w:ascii="Times New Roman" w:hAnsi="Times New Roman" w:eastAsia="宋体" w:cs="宋体"/>
                <w:b w:val="0"/>
                <w:bCs w:val="0"/>
                <w:sz w:val="24"/>
                <w:szCs w:val="21"/>
              </w:rPr>
              <w:t xml:space="preserve">24个月（根据每天采样多少进行调整）。</w:t>
            </w:r>
            <w:r/>
          </w:p>
        </w:tc>
      </w:tr>
    </w:tbl>
    <w:p>
      <w:pPr>
        <w:numPr>
          <w:ilvl w:val="0"/>
          <w:numId w:val="0"/>
        </w:numPr>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rPr>
        <w:t xml:space="preserve">七、项目</w:t>
      </w:r>
      <w:r>
        <w:rPr>
          <w:rFonts w:hint="eastAsia" w:ascii="仿宋" w:hAnsi="仿宋" w:eastAsia="仿宋" w:cs="仿宋"/>
          <w:b/>
          <w:bCs/>
          <w:sz w:val="28"/>
          <w:szCs w:val="28"/>
        </w:rPr>
        <w:t xml:space="preserve">实施要求</w:t>
      </w:r>
      <w:r/>
    </w:p>
    <w:p>
      <w:pPr>
        <w:numPr>
          <w:ilvl w:val="0"/>
          <w:numId w:val="0"/>
        </w:numPr>
        <w:jc w:val="both"/>
        <w:keepLines w:val="0"/>
        <w:keepNext w:val="0"/>
        <w:pageBreakBefore w:val="0"/>
        <w:spacing w:after="12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2</w:t>
      </w:r>
      <w:r>
        <w:rPr>
          <w:rFonts w:hint="eastAsia" w:ascii="宋体" w:hAnsi="宋体" w:eastAsia="宋体" w:cs="宋体"/>
          <w:color w:val="000000"/>
          <w:sz w:val="24"/>
          <w:szCs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Fonts w:hint="eastAsia" w:ascii="仿宋" w:hAnsi="仿宋" w:eastAsia="仿宋" w:cs="仿宋"/>
          <w:color w:val="000000"/>
          <w:sz w:val="28"/>
          <w:szCs w:val="28"/>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、投标人安装调试时采取必要的安全措施，如有意外或事故发生，由中标人（合同卖方）负全部责任。</w:t>
      </w:r>
      <w:r/>
    </w:p>
    <w:p>
      <w:pPr>
        <w:spacing w:line="360" w:lineRule="auto"/>
        <w:rPr>
          <w:rFonts w:hint="eastAsia" w:ascii="仿宋" w:hAnsi="仿宋" w:eastAsia="仿宋" w:cs="仿宋"/>
          <w:b/>
          <w:sz w:val="28"/>
          <w:szCs w:val="28"/>
        </w:rPr>
      </w:pPr>
      <w:r>
        <w:rPr>
          <w:rFonts w:hint="eastAsia" w:ascii="仿宋" w:hAnsi="仿宋" w:eastAsia="仿宋" w:cs="仿宋"/>
          <w:b/>
          <w:sz w:val="28"/>
          <w:szCs w:val="28"/>
          <w:lang w:val="en-US"/>
        </w:rPr>
        <w:t xml:space="preserve">八</w:t>
      </w:r>
      <w:r>
        <w:rPr>
          <w:rFonts w:hint="eastAsia" w:ascii="仿宋" w:hAnsi="仿宋" w:eastAsia="仿宋" w:cs="仿宋"/>
          <w:b/>
          <w:sz w:val="28"/>
          <w:szCs w:val="28"/>
        </w:rPr>
        <w:t xml:space="preserve">、验收标准</w:t>
      </w:r>
      <w:r/>
    </w:p>
    <w:p>
      <w:pPr>
        <w:ind w:right="-15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1、验收依据：相关国家标准、行业标准。</w:t>
      </w:r>
      <w:r/>
    </w:p>
    <w:p>
      <w:pPr>
        <w:ind w:right="-153"/>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2、验收的时间、方式、程序要求：见招标文件第五章《拟签订的合同文本》第九条。</w:t>
      </w:r>
      <w:r/>
    </w:p>
    <w:p>
      <w:pPr>
        <w:ind w:right="-153"/>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3</w:t>
      </w:r>
      <w:r>
        <w:rPr>
          <w:rFonts w:hint="eastAsia" w:ascii="宋体" w:hAnsi="宋体" w:eastAsia="宋体" w:cs="宋体"/>
          <w:bCs/>
          <w:color w:val="000000"/>
          <w:sz w:val="24"/>
          <w:szCs w:val="24"/>
        </w:rPr>
        <w:t xml:space="preserve">、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ind w:right="-153"/>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项目验收标准：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rPr>
        <w:t xml:space="preserve">九</w:t>
      </w:r>
      <w:r>
        <w:rPr>
          <w:rFonts w:hint="eastAsia" w:ascii="仿宋" w:hAnsi="仿宋" w:eastAsia="仿宋" w:cs="仿宋"/>
          <w:b/>
          <w:color w:val="000000"/>
          <w:sz w:val="28"/>
          <w:szCs w:val="28"/>
        </w:rPr>
        <w:t xml:space="preserve">、售后服务要求</w:t>
      </w:r>
      <w:r/>
    </w:p>
    <w:p>
      <w:pPr>
        <w:ind w:right="-153"/>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1、质保期：</w:t>
      </w:r>
      <w:r>
        <w:rPr>
          <w:rFonts w:hint="eastAsia" w:ascii="宋体" w:hAnsi="宋体" w:eastAsia="宋体" w:cs="宋体"/>
          <w:b w:val="0"/>
          <w:bCs/>
          <w:color w:val="000000"/>
          <w:sz w:val="24"/>
          <w:szCs w:val="24"/>
          <w:highlight w:val="none"/>
          <w:lang w:val="en-US"/>
        </w:rPr>
        <w:t xml:space="preserve">2</w:t>
      </w:r>
      <w:r>
        <w:rPr>
          <w:rFonts w:hint="eastAsia" w:ascii="宋体" w:hAnsi="宋体" w:eastAsia="宋体" w:cs="宋体"/>
          <w:b w:val="0"/>
          <w:bCs/>
          <w:color w:val="000000"/>
          <w:sz w:val="24"/>
          <w:szCs w:val="24"/>
          <w:highlight w:val="none"/>
        </w:rPr>
        <w:t xml:space="preserve">年免费质保（自最终验收合格之日起，开始进入质保期）。</w:t>
      </w:r>
      <w:r/>
    </w:p>
    <w:p>
      <w:pPr>
        <w:ind w:right="-153"/>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2、在质保期内，对采购人所提出的维修要求做出实质性响应，并提供应急策略；严格按照招标文件要求及时供货，并向采购人提供及时的完善的售前、售中、售后服务。</w:t>
      </w:r>
      <w:r/>
    </w:p>
    <w:p>
      <w:pPr>
        <w:spacing w:line="360" w:lineRule="auto"/>
        <w:rPr>
          <w:rFonts w:hint="eastAsia" w:ascii="Times New Roman" w:hAnsi="Times New Roman" w:eastAsia="仿宋" w:cs="Times New Roman"/>
          <w:sz w:val="28"/>
          <w:szCs w:val="21"/>
          <w:lang w:val="en-US" w:eastAsia="zh-CN"/>
        </w:rPr>
      </w:pPr>
      <w:r>
        <w:rPr>
          <w:rFonts w:hint="eastAsia" w:ascii="仿宋" w:hAnsi="仿宋" w:eastAsia="仿宋" w:cs="仿宋"/>
          <w:b/>
          <w:sz w:val="28"/>
          <w:szCs w:val="28"/>
          <w:lang w:val="en-US" w:eastAsia="zh-CN"/>
        </w:rPr>
        <w:t xml:space="preserve">十</w:t>
      </w:r>
      <w:r>
        <w:rPr>
          <w:rFonts w:hint="eastAsia" w:ascii="仿宋" w:hAnsi="仿宋" w:eastAsia="仿宋" w:cs="仿宋"/>
          <w:b/>
          <w:sz w:val="28"/>
          <w:szCs w:val="28"/>
        </w:rPr>
        <w:t xml:space="preserve">、其他要求：见招标文件第五章《拟签订的合同文本》</w:t>
      </w:r>
      <w:r>
        <w:rPr>
          <w:rFonts w:hint="eastAsia" w:ascii="仿宋" w:hAnsi="仿宋" w:eastAsia="仿宋" w:cs="仿宋"/>
          <w:b/>
          <w:sz w:val="28"/>
          <w:szCs w:val="28"/>
          <w:lang w:eastAsia="zh-CN"/>
        </w:rPr>
        <w:t xml:space="preserve">。</w:t>
      </w:r>
      <w:r/>
    </w:p>
    <w:p>
      <w:pPr>
        <w:jc w:val="center"/>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第七章 投标文件相关格式</w:t>
      </w:r>
      <w:r/>
    </w:p>
    <w:p>
      <w:pPr>
        <w:ind w:firstLine="640"/>
        <w:jc w:val="center"/>
        <w:spacing w:line="239" w:lineRule="atLeast"/>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rPr>
      </w:r>
      <w:r/>
    </w:p>
    <w:p>
      <w:pPr>
        <w:ind w:firstLine="640"/>
        <w:jc w:val="center"/>
        <w:spacing w:line="360" w:lineRule="auto"/>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一、投标函格式</w:t>
      </w:r>
      <w:r/>
    </w:p>
    <w:p>
      <w:pPr>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致：</w:t>
      </w:r>
      <w:r>
        <w:rPr>
          <w:rFonts w:hint="eastAsia" w:ascii="仿宋" w:hAnsi="仿宋" w:eastAsia="仿宋" w:cs="仿宋"/>
          <w:sz w:val="30"/>
          <w:u w:val="single"/>
        </w:rPr>
        <w:t xml:space="preserve"> 徐州市沛县生态环境局   </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根据</w:t>
      </w:r>
      <w:r>
        <w:rPr>
          <w:rFonts w:hint="eastAsia" w:ascii="仿宋" w:hAnsi="仿宋" w:eastAsia="仿宋" w:cs="仿宋"/>
          <w:sz w:val="30"/>
          <w:u w:val="single"/>
        </w:rPr>
        <w:t xml:space="preserve">          </w:t>
      </w:r>
      <w:r>
        <w:rPr>
          <w:rFonts w:hint="eastAsia" w:ascii="仿宋" w:hAnsi="仿宋" w:eastAsia="仿宋" w:cs="仿宋"/>
          <w:sz w:val="30"/>
        </w:rPr>
        <w:t xml:space="preserve">项目[项目编号：</w:t>
      </w:r>
      <w:r>
        <w:rPr>
          <w:rFonts w:hint="eastAsia" w:ascii="仿宋" w:hAnsi="仿宋" w:eastAsia="仿宋" w:cs="仿宋"/>
          <w:sz w:val="30"/>
          <w:u w:val="single"/>
        </w:rPr>
        <w:t xml:space="preserve">     </w:t>
      </w:r>
      <w:r>
        <w:rPr>
          <w:rFonts w:hint="eastAsia" w:ascii="仿宋" w:hAnsi="仿宋" w:eastAsia="仿宋" w:cs="仿宋"/>
          <w:sz w:val="30"/>
        </w:rPr>
        <w:t xml:space="preserve">]招标文件，</w:t>
      </w:r>
      <w:r>
        <w:rPr>
          <w:rFonts w:hint="eastAsia" w:ascii="仿宋" w:hAnsi="仿宋" w:eastAsia="仿宋" w:cs="仿宋"/>
          <w:sz w:val="30"/>
          <w:u w:val="single"/>
        </w:rPr>
        <w:t xml:space="preserve">     </w:t>
      </w:r>
      <w:r>
        <w:rPr>
          <w:rFonts w:hint="eastAsia" w:ascii="仿宋" w:hAnsi="仿宋" w:eastAsia="仿宋" w:cs="仿宋"/>
          <w:sz w:val="30"/>
        </w:rPr>
        <w:t xml:space="preserve">(姓名)代表我方</w:t>
      </w:r>
      <w:r>
        <w:rPr>
          <w:rFonts w:hint="eastAsia" w:ascii="仿宋" w:hAnsi="仿宋" w:eastAsia="仿宋" w:cs="仿宋"/>
          <w:sz w:val="30"/>
          <w:u w:val="single"/>
        </w:rPr>
        <w:t xml:space="preserve">            </w:t>
      </w:r>
      <w:r>
        <w:rPr>
          <w:rFonts w:hint="eastAsia" w:ascii="仿宋" w:hAnsi="仿宋" w:eastAsia="仿宋" w:cs="仿宋"/>
          <w:sz w:val="30"/>
        </w:rPr>
        <w:t xml:space="preserve">（投标人的名称）全权处理本次投标的有关事宜。</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据此函，投标人承诺并同意如下： </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 投标人唯一投标报价见《开标一览表》。</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 投标人将按招标文件的规定履行合同责任和义务。</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 投标有效期为开标之日后90天。</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 投标人在投标初始有效期内撤回投标，其投标保证金将不退还。</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 投标人同意在授予合同后，按照有关规定支付公证费(如有)。</w:t>
      </w:r>
      <w:r/>
    </w:p>
    <w:p>
      <w:pPr>
        <w:ind w:right="29"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 采购人或采购代理机构有权将我单位本项目的《开标一览表》和《分项价格表》予以公示，公示的方式由</w:t>
      </w:r>
      <w:r>
        <w:rPr>
          <w:rFonts w:hint="eastAsia" w:ascii="仿宋" w:hAnsi="仿宋" w:eastAsia="仿宋" w:cs="仿宋"/>
          <w:sz w:val="30"/>
          <w:lang w:eastAsia="zh-CN"/>
        </w:rPr>
        <w:t xml:space="preserve">徐州维正工程咨询有限公司</w:t>
      </w:r>
      <w:r>
        <w:rPr>
          <w:rFonts w:hint="eastAsia" w:ascii="仿宋" w:hAnsi="仿宋" w:eastAsia="仿宋" w:cs="仿宋"/>
          <w:sz w:val="30"/>
        </w:rPr>
        <w:t xml:space="preserve">确定。</w:t>
      </w:r>
      <w:r/>
    </w:p>
    <w:p>
      <w:pPr>
        <w:ind w:right="29"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 与本投标有关的一切正式往来信函请寄：</w:t>
      </w:r>
      <w:r/>
    </w:p>
    <w:p>
      <w:pPr>
        <w:ind w:firstLine="12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 </w:t>
      </w:r>
      <w:r/>
    </w:p>
    <w:p>
      <w:pPr>
        <w:ind w:firstLine="12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电话： </w:t>
      </w:r>
      <w:r/>
    </w:p>
    <w:p>
      <w:pPr>
        <w:ind w:firstLine="12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传真： </w:t>
      </w:r>
      <w:r/>
    </w:p>
    <w:p>
      <w:pPr>
        <w:ind w:firstLine="2700"/>
        <w:spacing w:line="23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27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40"/>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二、开标一览表格式</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51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w:t>
      </w:r>
      <w:r>
        <w:rPr>
          <w:rFonts w:hint="eastAsia" w:ascii="仿宋" w:hAnsi="仿宋" w:eastAsia="仿宋" w:cs="仿宋"/>
          <w:sz w:val="30"/>
          <w:lang w:eastAsia="zh-CN"/>
        </w:rPr>
        <w:t xml:space="preserve">JSZC-320322-XZWZ-G2025-0004</w:t>
      </w:r>
      <w:r/>
    </w:p>
    <w:p>
      <w:pPr>
        <w:spacing w:line="519" w:lineRule="atLeast"/>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w:t>
      </w:r>
      <w:r>
        <w:rPr>
          <w:rFonts w:hint="eastAsia" w:ascii="仿宋" w:hAnsi="仿宋" w:eastAsia="仿宋" w:cs="仿宋"/>
          <w:sz w:val="30"/>
          <w:lang w:eastAsia="zh-CN"/>
        </w:rPr>
        <w:t xml:space="preserve">沛县饮用水源地监测监控能力提升建设项目</w:t>
      </w:r>
      <w:r/>
    </w:p>
    <w:p>
      <w:pPr>
        <w:jc w:val="righ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货币单位：人民币元</w:t>
      </w:r>
      <w:r/>
    </w:p>
    <w:tbl>
      <w:tblPr>
        <w:tblStyle w:val="785"/>
        <w:tblW w:w="86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77"/>
        <w:gridCol w:w="2028"/>
        <w:gridCol w:w="2719"/>
      </w:tblGrid>
      <w:tr>
        <w:trPr>
          <w:trHeight w:val="1163"/>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项目名称</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项目内容</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总价（小写）</w:t>
            </w:r>
            <w:r/>
          </w:p>
        </w:tc>
      </w:tr>
      <w:tr>
        <w:trPr>
          <w:trHeight w:val="1226"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沛县饮用水源地监测监控能力提升建设项目</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详见投标文件</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tc>
      </w:tr>
      <w:tr>
        <w:trPr>
          <w:trHeight w:val="850"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总价（大写）：</w:t>
            </w:r>
            <w:r/>
          </w:p>
        </w:tc>
        <w:tc>
          <w:tcPr>
            <w:gridSpan w:val="2"/>
            <w:tcMar>
              <w:left w:w="108" w:type="dxa"/>
              <w:top w:w="0" w:type="dxa"/>
              <w:right w:w="108" w:type="dxa"/>
              <w:bottom w:w="0" w:type="dxa"/>
            </w:tcMar>
            <w:tcW w:w="4747"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tc>
      </w:tr>
    </w:tbl>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76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ind w:firstLine="33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33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bCs/>
          <w:sz w:val="32"/>
          <w:szCs w:val="32"/>
        </w:rPr>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三、分项价格表格式</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JSZC-320322-XZWZ-G2025-0004</w:t>
      </w:r>
      <w:r/>
    </w:p>
    <w:p>
      <w:pPr>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沛县饮用水源地监测监控能力提升建设项目</w:t>
      </w:r>
      <w:r/>
    </w:p>
    <w:p>
      <w:pPr>
        <w:jc w:val="right"/>
        <w:rPr>
          <w:rFonts w:hint="eastAsia" w:ascii="仿宋" w:hAnsi="仿宋" w:eastAsia="仿宋" w:cs="仿宋"/>
          <w:sz w:val="28"/>
          <w:szCs w:val="28"/>
        </w:rPr>
      </w:pPr>
      <w:r>
        <w:rPr>
          <w:rFonts w:hint="eastAsia" w:ascii="仿宋" w:hAnsi="仿宋" w:eastAsia="仿宋" w:cs="仿宋"/>
          <w:sz w:val="28"/>
          <w:szCs w:val="28"/>
        </w:rPr>
        <w:t xml:space="preserve">     货币单位：人民币元</w:t>
      </w:r>
      <w:r/>
    </w:p>
    <w:p>
      <w:pPr>
        <w:ind w:firstLine="3120"/>
        <w:rPr>
          <w:rFonts w:hint="eastAsia" w:ascii="宋体" w:hAnsi="宋体" w:cs="宋体"/>
          <w:sz w:val="24"/>
        </w:rPr>
      </w:pPr>
      <w:r>
        <w:rPr>
          <w:rFonts w:hint="eastAsia" w:ascii="宋体" w:hAnsi="宋体" w:cs="宋体"/>
          <w:sz w:val="24"/>
        </w:rPr>
      </w:r>
      <w:r/>
    </w:p>
    <w:tbl>
      <w:tblPr>
        <w:tblStyle w:val="752"/>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产品制造企业的划分（大型、中型、小型、微型、监狱企业、</w:t>
            </w:r>
            <w:r>
              <w:rPr>
                <w:rFonts w:hint="eastAsia" w:ascii="仿宋" w:hAnsi="仿宋" w:eastAsia="仿宋" w:cs="宋体"/>
                <w:sz w:val="24"/>
              </w:rPr>
              <w:t xml:space="preserve">享受政府采购支持政策的残疾人福利性单位</w:t>
            </w:r>
            <w:r>
              <w:rPr>
                <w:rFonts w:hint="eastAsia" w:ascii="仿宋" w:hAnsi="仿宋" w:eastAsia="仿宋"/>
                <w:sz w:val="24"/>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单价</w:t>
            </w:r>
            <w:r/>
          </w:p>
        </w:tc>
        <w:tc>
          <w:tcPr>
            <w:shd w:val="clear" w:color="auto" w:fill="c0c0c0"/>
            <w:tcW w:w="70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仿宋" w:hAnsi="仿宋" w:eastAsia="仿宋"/>
                <w:sz w:val="24"/>
              </w:rPr>
            </w:pPr>
            <w:r>
              <w:rPr>
                <w:rFonts w:hint="eastAsia" w:ascii="仿宋" w:hAnsi="仿宋" w:eastAsia="仿宋"/>
                <w:b/>
                <w:bCs/>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rPr>
            </w:pPr>
            <w:r>
              <w:rPr>
                <w:rFonts w:hint="eastAsia"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rPr>
            </w:pPr>
            <w:r>
              <w:rPr>
                <w:rFonts w:hint="eastAsia"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rPr>
            </w:pPr>
            <w:r>
              <w:rPr>
                <w:rFonts w:hint="eastAsia"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总价合计（即《开标一览表》中的“总价”）</w:t>
            </w:r>
            <w:r/>
          </w:p>
        </w:tc>
        <w:tc>
          <w:tcPr>
            <w:gridSpan w:val="6"/>
            <w:tcW w:w="6008"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ind w:firstLine="3640"/>
        <w:spacing w:line="300" w:lineRule="auto"/>
        <w:rPr>
          <w:rFonts w:hint="eastAsia" w:ascii="仿宋" w:hAnsi="仿宋" w:eastAsia="仿宋"/>
          <w:sz w:val="28"/>
          <w:szCs w:val="28"/>
        </w:rPr>
      </w:pPr>
      <w:r>
        <w:rPr>
          <w:rFonts w:hint="eastAsia" w:ascii="仿宋" w:hAnsi="仿宋" w:eastAsia="仿宋"/>
          <w:sz w:val="28"/>
          <w:szCs w:val="28"/>
        </w:rPr>
        <w:t xml:space="preserve">投标人：（电子签章）</w:t>
      </w:r>
      <w:r/>
    </w:p>
    <w:p>
      <w:pPr>
        <w:ind w:firstLine="3640"/>
        <w:spacing w:line="360" w:lineRule="auto"/>
        <w:rPr>
          <w:rFonts w:hint="eastAsia" w:ascii="仿宋" w:hAnsi="仿宋" w:eastAsia="仿宋"/>
          <w:sz w:val="28"/>
          <w:szCs w:val="28"/>
        </w:rPr>
      </w:pPr>
      <w:r>
        <w:rPr>
          <w:rFonts w:hint="eastAsia" w:ascii="仿宋" w:hAnsi="仿宋" w:eastAsia="仿宋"/>
          <w:sz w:val="28"/>
          <w:szCs w:val="28"/>
        </w:rPr>
        <w:t xml:space="preserve">日期：   年  月  日</w:t>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t xml:space="preserve">说明：</w:t>
      </w:r>
      <w:r/>
    </w:p>
    <w:p>
      <w:pPr>
        <w:ind w:firstLine="420"/>
        <w:widowControl/>
        <w:rPr>
          <w:rFonts w:hint="eastAsia" w:ascii="仿宋" w:hAnsi="仿宋" w:eastAsia="仿宋"/>
          <w:sz w:val="28"/>
          <w:szCs w:val="28"/>
        </w:rPr>
      </w:pPr>
      <w:r>
        <w:rPr>
          <w:rFonts w:hint="eastAsia" w:ascii="仿宋" w:hAnsi="仿宋" w:eastAsia="仿宋"/>
          <w:b/>
          <w:bCs/>
          <w:sz w:val="28"/>
          <w:szCs w:val="28"/>
        </w:rPr>
        <w:t xml:space="preserve">1、本表中“产品制造企业的划分”以《政府采购促进中小企业发展管理办法》（财库[2020]046号）</w:t>
      </w:r>
      <w:r>
        <w:rPr>
          <w:rFonts w:hint="eastAsia" w:ascii="仿宋" w:hAnsi="仿宋" w:eastAsia="仿宋"/>
          <w:sz w:val="28"/>
          <w:szCs w:val="28"/>
        </w:rPr>
        <w:t xml:space="preserve">和《工业和信息化部、国家统计局、国家发展和改革委员会、财政部关于印发中小企业划型标准规定的通知》（工信部联企业[2011]300号）的规定为准。</w:t>
      </w:r>
      <w:r/>
    </w:p>
    <w:p>
      <w:pPr>
        <w:ind w:firstLine="420"/>
        <w:widowControl/>
        <w:rPr>
          <w:rFonts w:hint="eastAsia" w:ascii="仿宋" w:hAnsi="仿宋" w:eastAsia="仿宋"/>
          <w:sz w:val="28"/>
          <w:szCs w:val="28"/>
        </w:rPr>
      </w:pPr>
      <w:r>
        <w:rPr>
          <w:rFonts w:hint="eastAsia" w:ascii="仿宋" w:hAnsi="仿宋" w:eastAsia="仿宋"/>
          <w:sz w:val="28"/>
          <w:szCs w:val="28"/>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hint="eastAsia" w:ascii="仿宋" w:hAnsi="仿宋" w:eastAsia="仿宋" w:cs="宋体"/>
          <w:sz w:val="28"/>
          <w:szCs w:val="28"/>
        </w:rPr>
      </w:pPr>
      <w:r>
        <w:rPr>
          <w:rFonts w:hint="eastAsia" w:ascii="仿宋" w:hAnsi="仿宋" w:eastAsia="仿宋"/>
          <w:sz w:val="28"/>
          <w:szCs w:val="28"/>
        </w:rPr>
        <w:tab/>
      </w:r>
      <w:r>
        <w:rPr>
          <w:rFonts w:hint="eastAsia" w:ascii="仿宋" w:hAnsi="仿宋" w:eastAsia="仿宋"/>
          <w:sz w:val="28"/>
          <w:szCs w:val="28"/>
        </w:rPr>
        <w:t xml:space="preserve">3、享受政府采购支持政策的残疾人福利性单位的条件以《三部门联合发布关于促进残疾人就业政府采购政策的通知》（财库〔2017〕141号）规定为准。</w:t>
      </w:r>
      <w:r/>
    </w:p>
    <w:p>
      <w:pPr>
        <w:ind w:firstLine="560"/>
        <w:widowControl/>
        <w:rPr>
          <w:rFonts w:hint="eastAsia" w:ascii="仿宋" w:hAnsi="仿宋" w:eastAsia="仿宋" w:cs="宋体"/>
          <w:sz w:val="28"/>
          <w:szCs w:val="28"/>
        </w:rPr>
      </w:pPr>
      <w:r>
        <w:rPr>
          <w:rFonts w:hint="eastAsia" w:ascii="仿宋" w:hAnsi="仿宋" w:eastAsia="仿宋" w:cs="宋体"/>
          <w:sz w:val="28"/>
          <w:szCs w:val="28"/>
        </w:rPr>
      </w:r>
      <w:r/>
    </w:p>
    <w:p>
      <w:pPr>
        <w:widowControl/>
        <w:rPr>
          <w:rFonts w:hint="eastAsia" w:ascii="仿宋" w:hAnsi="仿宋" w:eastAsia="仿宋"/>
          <w:sz w:val="28"/>
          <w:szCs w:val="28"/>
        </w:rPr>
      </w:pPr>
      <w:r>
        <w:rPr>
          <w:rFonts w:hint="eastAsia" w:ascii="仿宋" w:hAnsi="仿宋" w:eastAsia="仿宋" w:cs="宋体"/>
          <w:sz w:val="28"/>
          <w:szCs w:val="28"/>
        </w:rPr>
        <w:t xml:space="preserve">注：</w:t>
      </w:r>
      <w:r>
        <w:rPr>
          <w:rFonts w:hint="eastAsia" w:ascii="仿宋" w:hAnsi="仿宋" w:eastAsia="仿宋"/>
          <w:sz w:val="28"/>
          <w:szCs w:val="28"/>
        </w:rPr>
        <w:t xml:space="preserve">1、如果不提供详细分项报价将视为没有实质性响应招标文件。</w:t>
      </w:r>
      <w:r/>
    </w:p>
    <w:p>
      <w:pPr>
        <w:ind w:firstLine="560"/>
        <w:widowControl/>
        <w:rPr>
          <w:rFonts w:hint="eastAsia" w:ascii="仿宋" w:hAnsi="仿宋" w:eastAsia="仿宋"/>
          <w:sz w:val="28"/>
          <w:szCs w:val="28"/>
        </w:rPr>
      </w:pPr>
      <w:r>
        <w:rPr>
          <w:rFonts w:hint="eastAsia" w:ascii="仿宋" w:hAnsi="仿宋" w:eastAsia="仿宋"/>
          <w:sz w:val="28"/>
          <w:szCs w:val="28"/>
        </w:rPr>
        <w:t xml:space="preserve">2、投标人对以上数据的真实性负责。</w:t>
      </w:r>
      <w:r/>
    </w:p>
    <w:p>
      <w:pPr>
        <w:ind w:firstLine="562"/>
        <w:widowControl/>
        <w:rPr>
          <w:rFonts w:hint="eastAsia" w:ascii="仿宋" w:hAnsi="仿宋" w:eastAsia="仿宋" w:cs="宋体"/>
          <w:b/>
          <w:bCs/>
          <w:sz w:val="28"/>
          <w:szCs w:val="28"/>
        </w:rPr>
      </w:pPr>
      <w:r>
        <w:rPr>
          <w:rFonts w:hint="eastAsia" w:ascii="仿宋" w:hAnsi="仿宋" w:eastAsia="仿宋" w:cs="宋体"/>
          <w:b/>
          <w:bCs/>
          <w:sz w:val="28"/>
          <w:szCs w:val="28"/>
        </w:rPr>
        <w:t xml:space="preserve">采购人或采购代理机构有权将以上内容进行公示。</w:t>
      </w:r>
      <w:r/>
    </w:p>
    <w:p>
      <w:pPr>
        <w:ind w:firstLine="560"/>
        <w:jc w:val="cente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四、偏离表格式</w:t>
      </w:r>
      <w:r/>
    </w:p>
    <w:p>
      <w:pPr>
        <w:ind w:firstLine="600"/>
        <w:spacing w:line="479" w:lineRule="atLeast"/>
        <w:rPr>
          <w:rFonts w:hint="eastAsia"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 </w:t>
      </w:r>
      <w:r/>
    </w:p>
    <w:p>
      <w:pPr>
        <w:spacing w:line="47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w:t>
      </w:r>
      <w:r>
        <w:rPr>
          <w:rFonts w:hint="eastAsia" w:ascii="仿宋" w:hAnsi="仿宋" w:eastAsia="仿宋" w:cs="仿宋"/>
          <w:sz w:val="30"/>
          <w:lang w:eastAsia="zh-CN"/>
        </w:rPr>
        <w:t xml:space="preserve">JSZC-320322-XZWZ-G2025-0004</w:t>
      </w:r>
      <w:r/>
    </w:p>
    <w:p>
      <w:pPr>
        <w:spacing w:line="479" w:lineRule="atLeast"/>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w:t>
      </w:r>
      <w:r>
        <w:rPr>
          <w:rFonts w:hint="eastAsia" w:ascii="仿宋" w:hAnsi="仿宋" w:eastAsia="仿宋" w:cs="仿宋"/>
          <w:sz w:val="30"/>
          <w:lang w:eastAsia="zh-CN"/>
        </w:rPr>
        <w:t xml:space="preserve">沛县饮用水源地监测监控能力提升建设项目</w:t>
      </w:r>
      <w:r/>
    </w:p>
    <w:tbl>
      <w:tblPr>
        <w:tblStyle w:val="969"/>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bl>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注</w:t>
      </w:r>
      <w:r>
        <w:rPr>
          <w:rFonts w:hint="eastAsia" w:ascii="仿宋" w:hAnsi="仿宋" w:eastAsia="仿宋" w:cs="仿宋"/>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spacing w:line="7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bCs/>
          <w:sz w:val="32"/>
          <w:szCs w:val="32"/>
        </w:rPr>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五、授权委托书格式</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               职务：</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统一社会信用代码：</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受托人：        性别：男（女）</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年龄：  岁      民族：  族</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职务：</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身份证号：</w:t>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兹委托（  ）全权代表我企业（公司）参与（</w:t>
      </w:r>
      <w:r>
        <w:rPr>
          <w:rFonts w:hint="eastAsia" w:ascii="仿宋" w:hAnsi="仿宋" w:eastAsia="仿宋" w:cs="仿宋"/>
          <w:sz w:val="30"/>
          <w:u w:val="single"/>
          <w:lang w:eastAsia="zh-CN"/>
        </w:rPr>
        <w:t xml:space="preserve">沛县饮用水源地监测监控能力提升建设项目</w:t>
      </w:r>
      <w:r>
        <w:rPr>
          <w:rFonts w:hint="eastAsia" w:ascii="仿宋" w:hAnsi="仿宋" w:eastAsia="仿宋" w:cs="仿宋"/>
          <w:sz w:val="30"/>
        </w:rPr>
        <w:t xml:space="preserve">）（项目编号：</w:t>
      </w:r>
      <w:r>
        <w:rPr>
          <w:rFonts w:hint="eastAsia" w:ascii="仿宋" w:hAnsi="仿宋" w:eastAsia="仿宋" w:cs="仿宋"/>
          <w:sz w:val="30"/>
          <w:u w:val="single"/>
          <w:lang w:eastAsia="zh-CN"/>
        </w:rPr>
        <w:t xml:space="preserve">JSZC-320322-XZWZ-G2025-0004</w:t>
      </w:r>
      <w:r>
        <w:rPr>
          <w:rFonts w:hint="eastAsia" w:ascii="仿宋" w:hAnsi="仿宋" w:eastAsia="仿宋" w:cs="仿宋"/>
          <w:sz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特此授权委托。</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委托人（电子签章）：</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b w:val="0"/>
          <w:bCs w:val="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rPr>
        <w:t xml:space="preserve">受托人（签字或盖章）：</w:t>
      </w:r>
      <w:r/>
    </w:p>
    <w:p>
      <w:pPr>
        <w:ind w:firstLine="600"/>
        <w:spacing w:line="479" w:lineRule="atLeast"/>
        <w:rPr>
          <w:rFonts w:hint="eastAsia" w:ascii="仿宋" w:hAnsi="仿宋" w:eastAsia="仿宋" w:cs="仿宋"/>
          <w:b w:val="0"/>
          <w:bCs w:val="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rPr>
      </w:r>
      <w:r/>
    </w:p>
    <w:p>
      <w:pPr>
        <w:pStyle w:val="929"/>
        <w:ind w:left="0" w:firstLine="602"/>
        <w:rPr>
          <w:rFonts w:eastAsia="仿宋"/>
          <w:b w:val="0"/>
          <w:bCs w:val="0"/>
        </w:rPr>
      </w:pPr>
      <w:r>
        <w:rPr>
          <w:rFonts w:hint="eastAsia" w:ascii="仿宋" w:hAnsi="仿宋" w:eastAsia="仿宋" w:cs="仿宋"/>
          <w:b w:val="0"/>
          <w:bCs w:val="0"/>
          <w:sz w:val="30"/>
        </w:rPr>
        <w:t xml:space="preserve">受托人联系方式：</w:t>
      </w:r>
      <w:r>
        <w:rPr>
          <w:rFonts w:hint="eastAsia" w:ascii="仿宋" w:hAnsi="仿宋" w:eastAsia="仿宋" w:cs="仿宋"/>
          <w:b w:val="0"/>
          <w:bCs w:val="0"/>
          <w:sz w:val="30"/>
          <w:lang w:val="en-US" w:eastAsia="zh-CN"/>
        </w:rPr>
        <w:t xml:space="preserve">             </w:t>
      </w:r>
      <w:r>
        <w:rPr>
          <w:rFonts w:hint="eastAsia" w:ascii="仿宋" w:hAnsi="仿宋" w:eastAsia="仿宋" w:cs="仿宋"/>
          <w:b w:val="0"/>
          <w:bCs w:val="0"/>
          <w:sz w:val="30"/>
        </w:rPr>
        <w:t xml:space="preserve">邮箱：</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法定代表人（负责人）（签字或盖章）： </w:t>
      </w:r>
      <w:r/>
    </w:p>
    <w:p>
      <w:pPr>
        <w:ind w:right="600" w:firstLine="6150"/>
        <w:spacing w:line="479" w:lineRule="atLeast"/>
        <w:rPr>
          <w:rFonts w:hint="eastAsia" w:ascii="宋体" w:hAnsi="宋体" w:cs="宋体"/>
          <w:b/>
          <w:bCs/>
          <w:sz w:val="36"/>
          <w:szCs w:val="36"/>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  月</w:t>
      </w:r>
      <w:r>
        <w:rPr>
          <w:rFonts w:hint="eastAsia" w:ascii="仿宋" w:hAnsi="仿宋" w:eastAsia="仿宋" w:cs="仿宋"/>
          <w:sz w:val="30"/>
          <w:lang w:val="en-US" w:eastAsia="zh-CN"/>
        </w:rPr>
        <w:t xml:space="preserve"> </w:t>
      </w:r>
      <w:r>
        <w:rPr>
          <w:rFonts w:hint="eastAsia" w:ascii="仿宋" w:hAnsi="仿宋" w:eastAsia="仿宋" w:cs="仿宋"/>
          <w:sz w:val="30"/>
        </w:rPr>
        <w:t xml:space="preserve"> 日</w:t>
      </w:r>
      <w:r>
        <w:rPr>
          <w:rFonts w:hint="eastAsia" w:ascii="仿宋" w:hAnsi="仿宋" w:eastAsia="仿宋" w:cs="仿宋"/>
          <w:b/>
          <w:bCs/>
          <w:sz w:val="30"/>
        </w:rPr>
        <w:t xml:space="preserve">(受托人身份证扫描件附后)</w:t>
      </w:r>
      <w:r/>
    </w:p>
    <w:p>
      <w:pPr>
        <w:ind w:left="880"/>
        <w:spacing w:line="480" w:lineRule="exact"/>
        <w:rPr>
          <w:rFonts w:hint="eastAsia" w:ascii="宋体" w:hAnsi="宋体" w:cs="宋体"/>
          <w:b/>
          <w:bCs/>
          <w:sz w:val="36"/>
          <w:szCs w:val="36"/>
          <w:lang w:bidi="zh-CN"/>
        </w:rPr>
      </w:pPr>
      <w:r>
        <w:rPr>
          <w:rFonts w:hint="eastAsia" w:ascii="宋体" w:hAnsi="宋体" w:cs="宋体"/>
          <w:b/>
          <w:bCs/>
          <w:sz w:val="36"/>
          <w:szCs w:val="36"/>
          <w:lang w:bidi="zh-CN"/>
        </w:rPr>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六、具备履行合同所必需的设备和专业技术能力的</w:t>
      </w:r>
      <w:r/>
    </w:p>
    <w:p>
      <w:pPr>
        <w:jc w:val="center"/>
        <w:spacing w:line="479" w:lineRule="atLeast"/>
        <w:rPr>
          <w:rFonts w:hint="eastAsia" w:ascii="宋体" w:hAnsi="宋体" w:cs="宋体"/>
          <w:b/>
          <w:bCs/>
          <w:sz w:val="36"/>
          <w:szCs w:val="36"/>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书面声明</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 </w:t>
      </w:r>
      <w:r>
        <w:rPr>
          <w:rFonts w:hint="eastAsia" w:ascii="仿宋" w:hAnsi="仿宋" w:eastAsia="仿宋" w:cs="仿宋"/>
          <w:sz w:val="30"/>
          <w:lang w:eastAsia="zh-CN"/>
        </w:rPr>
        <w:t xml:space="preserve">沛县饮用水源地监测监控能力提升建设项目</w:t>
      </w:r>
      <w:r>
        <w:rPr>
          <w:rFonts w:hint="eastAsia" w:ascii="仿宋" w:hAnsi="仿宋" w:eastAsia="仿宋" w:cs="仿宋"/>
          <w:sz w:val="30"/>
        </w:rPr>
        <w:t xml:space="preserve">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 </w:t>
      </w:r>
      <w:r>
        <w:rPr>
          <w:rFonts w:hint="eastAsia" w:ascii="仿宋" w:hAnsi="仿宋" w:eastAsia="仿宋" w:cs="仿宋"/>
          <w:sz w:val="30"/>
          <w:lang w:eastAsia="zh-CN"/>
        </w:rPr>
        <w:t xml:space="preserve">JSZC-320322-XZWZ-G2025-0004</w:t>
      </w:r>
      <w:r>
        <w:rPr>
          <w:rFonts w:hint="eastAsia" w:ascii="仿宋" w:hAnsi="仿宋" w:eastAsia="仿宋" w:cs="仿宋"/>
          <w:sz w:val="30"/>
        </w:rPr>
        <w:t xml:space="preserve">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供应商郑重声明：供应商具备履行合同（项目名称：</w:t>
      </w:r>
      <w:r>
        <w:rPr>
          <w:rFonts w:hint="eastAsia" w:ascii="仿宋" w:hAnsi="仿宋" w:eastAsia="仿宋" w:cs="仿宋"/>
          <w:sz w:val="30"/>
          <w:u w:val="single"/>
          <w:lang w:eastAsia="zh-CN"/>
        </w:rPr>
        <w:t xml:space="preserve">沛县饮用水源地监测监控能力提升建设项目</w:t>
      </w:r>
      <w:r>
        <w:rPr>
          <w:rFonts w:hint="eastAsia" w:ascii="仿宋" w:hAnsi="仿宋" w:eastAsia="仿宋" w:cs="仿宋"/>
          <w:sz w:val="30"/>
        </w:rPr>
        <w:t xml:space="preserve">，项目编号：</w:t>
      </w:r>
      <w:r>
        <w:rPr>
          <w:rFonts w:hint="eastAsia" w:ascii="仿宋" w:hAnsi="仿宋" w:eastAsia="仿宋" w:cs="仿宋"/>
          <w:sz w:val="30"/>
          <w:u w:val="single"/>
        </w:rPr>
        <w:t xml:space="preserve"> </w:t>
      </w:r>
      <w:r>
        <w:rPr>
          <w:rFonts w:hint="eastAsia" w:ascii="仿宋" w:hAnsi="仿宋" w:eastAsia="仿宋" w:cs="仿宋"/>
          <w:sz w:val="30"/>
          <w:u w:val="single"/>
          <w:lang w:eastAsia="zh-CN"/>
        </w:rPr>
        <w:t xml:space="preserve">JSZC-320322-XZWZ-G2025-0004</w:t>
      </w:r>
      <w:r>
        <w:rPr>
          <w:rFonts w:hint="eastAsia" w:ascii="仿宋" w:hAnsi="仿宋" w:eastAsia="仿宋" w:cs="仿宋"/>
          <w:sz w:val="30"/>
          <w:u w:val="single"/>
        </w:rPr>
        <w:t xml:space="preserve"> </w:t>
      </w:r>
      <w:r>
        <w:rPr>
          <w:rFonts w:hint="eastAsia" w:ascii="仿宋" w:hAnsi="仿宋" w:eastAsia="仿宋" w:cs="仿宋"/>
          <w:sz w:val="30"/>
        </w:rPr>
        <w:t xml:space="preserve">所必需的设备和专业技术能力，具体为：</w:t>
      </w:r>
      <w:r/>
    </w:p>
    <w:p>
      <w:pPr>
        <w:ind w:firstLine="600"/>
        <w:spacing w:line="47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即提供投标人的至少</w:t>
      </w:r>
      <w:r>
        <w:rPr>
          <w:rFonts w:hint="eastAsia" w:ascii="仿宋" w:hAnsi="仿宋" w:eastAsia="仿宋" w:cs="仿宋"/>
          <w:sz w:val="30"/>
          <w:lang w:val="en-US" w:eastAsia="zh-CN"/>
        </w:rPr>
        <w:t xml:space="preserve">1</w:t>
      </w:r>
      <w:r>
        <w:rPr>
          <w:rFonts w:hint="eastAsia" w:ascii="仿宋" w:hAnsi="仿宋" w:eastAsia="仿宋" w:cs="仿宋"/>
          <w:sz w:val="30"/>
        </w:rPr>
        <w:t xml:space="preserve">名为本项目服务的人员的劳动合同（书）扫描件</w:t>
      </w:r>
      <w:r>
        <w:rPr>
          <w:rFonts w:hint="eastAsia" w:ascii="仿宋" w:hAnsi="仿宋" w:eastAsia="仿宋" w:cs="仿宋"/>
          <w:sz w:val="30"/>
          <w:lang w:eastAsia="zh-CN"/>
        </w:rPr>
        <w:t xml:space="preserve">。</w:t>
      </w:r>
      <w:r/>
    </w:p>
    <w:p>
      <w:pPr>
        <w:pStyle w:val="753"/>
        <w:rPr>
          <w:rFonts w:hint="eastAsia"/>
          <w:lang w:val="en-US" w:eastAsia="zh-CN"/>
        </w:rPr>
      </w:pPr>
      <w:r>
        <w:rPr>
          <w:rFonts w:hint="eastAsia"/>
          <w:lang w:val="en-US" w:eastAsia="zh-CN"/>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特此声明。</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供应商对上述声明的真实性负责。如有虚假，将依法承担相应责任。</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1500"/>
        <w:spacing w:line="23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15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rPr>
          <w:rFonts w:hint="eastAsia" w:ascii="仿宋" w:hAnsi="仿宋" w:eastAsia="仿宋" w:cs="仿宋"/>
          <w:b/>
          <w:bCs/>
          <w:sz w:val="30"/>
        </w:rPr>
      </w:pPr>
      <w:r>
        <w:rPr>
          <w:rFonts w:hint="eastAsia" w:ascii="仿宋" w:hAnsi="仿宋" w:eastAsia="仿宋" w:cs="仿宋"/>
          <w:b/>
          <w:bCs/>
          <w:sz w:val="30"/>
        </w:rPr>
        <w:br w:type="page" w:clear="all"/>
      </w:r>
      <w:r/>
    </w:p>
    <w:p>
      <w:pPr>
        <w:jc w:val="center"/>
        <w:spacing w:line="47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七、投标人相关承诺</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 </w:t>
      </w:r>
      <w:r>
        <w:rPr>
          <w:rFonts w:hint="eastAsia" w:ascii="仿宋" w:hAnsi="仿宋" w:eastAsia="仿宋" w:cs="仿宋"/>
          <w:sz w:val="30"/>
          <w:lang w:eastAsia="zh-CN"/>
        </w:rPr>
        <w:t xml:space="preserve">沛县饮用水源地监测监控能力提升建设项目</w:t>
      </w:r>
      <w:r>
        <w:rPr>
          <w:rFonts w:hint="eastAsia" w:ascii="仿宋" w:hAnsi="仿宋" w:eastAsia="仿宋" w:cs="仿宋"/>
          <w:sz w:val="30"/>
        </w:rPr>
        <w:t xml:space="preserve">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 </w:t>
      </w:r>
      <w:r>
        <w:rPr>
          <w:rFonts w:hint="eastAsia" w:ascii="仿宋" w:hAnsi="仿宋" w:eastAsia="仿宋" w:cs="仿宋"/>
          <w:sz w:val="30"/>
          <w:lang w:eastAsia="zh-CN"/>
        </w:rPr>
        <w:t xml:space="preserve">JSZC-320322-XZWZ-G2025-0004</w:t>
      </w:r>
      <w:r>
        <w:rPr>
          <w:rFonts w:hint="eastAsia" w:ascii="仿宋" w:hAnsi="仿宋" w:eastAsia="仿宋" w:cs="仿宋"/>
          <w:sz w:val="30"/>
        </w:rPr>
        <w:t xml:space="preserve">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我单位承诺：</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我单位对上述承诺负责，并依法承担相应责任。</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pStyle w:val="784"/>
        <w:rPr>
          <w:sz w:val="24"/>
        </w:rPr>
      </w:pPr>
      <w:r>
        <w:rPr>
          <w:sz w:val="24"/>
        </w:rPr>
      </w:r>
      <w:r/>
    </w:p>
    <w:p>
      <w:pPr>
        <w:pStyle w:val="784"/>
        <w:rPr>
          <w:sz w:val="24"/>
        </w:rPr>
      </w:pPr>
      <w:r>
        <w:rPr>
          <w:sz w:val="24"/>
        </w:rPr>
      </w:r>
      <w:r/>
    </w:p>
    <w:p>
      <w:pPr>
        <w:pStyle w:val="784"/>
        <w:rPr>
          <w:sz w:val="24"/>
        </w:rPr>
      </w:pPr>
      <w:r>
        <w:rPr>
          <w:sz w:val="24"/>
        </w:rPr>
      </w:r>
      <w:r/>
    </w:p>
    <w:p>
      <w:pPr>
        <w:pStyle w:val="784"/>
        <w:rPr>
          <w:sz w:val="24"/>
        </w:rPr>
      </w:pPr>
      <w:r>
        <w:rPr>
          <w:sz w:val="24"/>
        </w:rPr>
      </w:r>
      <w:r/>
    </w:p>
    <w:p>
      <w:pPr>
        <w:pStyle w:val="784"/>
        <w:rPr>
          <w:sz w:val="24"/>
        </w:rPr>
      </w:pPr>
      <w:r>
        <w:rPr>
          <w:sz w:val="24"/>
        </w:rPr>
      </w:r>
      <w:r/>
    </w:p>
    <w:p>
      <w:pPr>
        <w:pStyle w:val="784"/>
        <w:rPr>
          <w:sz w:val="24"/>
        </w:rPr>
      </w:pPr>
      <w:r>
        <w:rPr>
          <w:sz w:val="24"/>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 </w:t>
      </w:r>
      <w:r/>
    </w:p>
    <w:p>
      <w:pPr>
        <w:ind w:firstLine="600"/>
        <w:rPr>
          <w:rFonts w:hint="eastAsia" w:ascii="仿宋" w:hAnsi="仿宋" w:eastAsia="仿宋" w:cs="仿宋"/>
          <w:sz w:val="30"/>
        </w:rPr>
      </w:pPr>
      <w:r>
        <w:rPr>
          <w:rFonts w:hint="eastAsia" w:ascii="仿宋" w:hAnsi="仿宋" w:eastAsia="仿宋" w:cs="仿宋"/>
          <w:sz w:val="30"/>
        </w:rPr>
      </w:r>
      <w:r/>
    </w:p>
    <w:p>
      <w:pPr>
        <w:ind w:firstLine="600"/>
        <w:rPr>
          <w:rFonts w:hint="eastAsia" w:ascii="仿宋" w:hAnsi="仿宋" w:eastAsia="仿宋" w:cs="仿宋"/>
          <w:sz w:val="30"/>
        </w:rPr>
      </w:pPr>
      <w:r>
        <w:rPr>
          <w:rFonts w:hint="eastAsia" w:ascii="仿宋" w:hAnsi="仿宋" w:eastAsia="仿宋" w:cs="仿宋"/>
          <w:sz w:val="30"/>
        </w:rPr>
        <w:t xml:space="preserve">日期：   年  月  日</w:t>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rPr>
          <w:rFonts w:hint="eastAsia" w:ascii="仿宋" w:hAnsi="仿宋" w:eastAsia="仿宋" w:cs="仿宋"/>
          <w:b/>
          <w:bCs/>
          <w:sz w:val="30"/>
        </w:rPr>
      </w:pPr>
      <w:r>
        <w:rPr>
          <w:rFonts w:hint="eastAsia" w:ascii="仿宋" w:hAnsi="仿宋" w:eastAsia="仿宋" w:cs="仿宋"/>
          <w:b/>
          <w:bCs/>
          <w:sz w:val="30"/>
        </w:rPr>
        <w:br w:type="page" w:clear="all"/>
      </w:r>
      <w:r/>
    </w:p>
    <w:p>
      <w:pPr>
        <w:jc w:val="center"/>
        <w:spacing w:line="47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八、投标人书面声明</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 </w:t>
      </w:r>
      <w:r>
        <w:rPr>
          <w:rFonts w:hint="eastAsia" w:ascii="仿宋" w:hAnsi="仿宋" w:eastAsia="仿宋" w:cs="仿宋"/>
          <w:sz w:val="30"/>
          <w:lang w:eastAsia="zh-CN"/>
        </w:rPr>
        <w:t xml:space="preserve">沛县饮用水源地监测监控能力提升建设项目</w:t>
      </w:r>
      <w:r>
        <w:rPr>
          <w:rFonts w:hint="eastAsia" w:ascii="仿宋" w:hAnsi="仿宋" w:eastAsia="仿宋" w:cs="仿宋"/>
          <w:sz w:val="30"/>
        </w:rPr>
        <w:t xml:space="preserve"> </w:t>
      </w:r>
      <w:r/>
    </w:p>
    <w:p>
      <w:pPr>
        <w:spacing w:line="47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 </w:t>
      </w:r>
      <w:r>
        <w:rPr>
          <w:rFonts w:hint="eastAsia" w:ascii="仿宋" w:hAnsi="仿宋" w:eastAsia="仿宋" w:cs="仿宋"/>
          <w:sz w:val="30"/>
          <w:lang w:eastAsia="zh-CN"/>
        </w:rPr>
        <w:t xml:space="preserve">JSZC-320322-XZWZ-G2025-0004</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我单位不是为本采购项目提供整体设计、规范编制或者项目管理、监理、检测等服务的供应商。</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特此声明。</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我单位对上述声明的真实性负责。如有虚假，将依法承担相应责任。</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562"/>
        <w:jc w:val="center"/>
        <w:spacing w:line="480" w:lineRule="exact"/>
        <w:rPr>
          <w:rFonts w:hint="eastAsia" w:ascii="宋体" w:hAnsi="宋体" w:cs="宋体"/>
          <w:b/>
          <w:bCs/>
          <w:sz w:val="28"/>
          <w:szCs w:val="28"/>
        </w:rPr>
      </w:pPr>
      <w:r>
        <w:rPr>
          <w:rFonts w:hint="eastAsia" w:ascii="宋体" w:hAnsi="宋体" w:cs="宋体"/>
          <w:b/>
          <w:bCs/>
          <w:sz w:val="28"/>
          <w:szCs w:val="28"/>
        </w:rPr>
      </w:r>
      <w:r/>
    </w:p>
    <w:p>
      <w:pPr>
        <w:rPr>
          <w:rFonts w:hint="eastAsia" w:ascii="仿宋" w:hAnsi="仿宋" w:eastAsia="仿宋" w:cs="仿宋"/>
          <w:b/>
          <w:bCs/>
          <w:sz w:val="30"/>
        </w:rPr>
      </w:pPr>
      <w:r>
        <w:rPr>
          <w:rFonts w:hint="eastAsia" w:ascii="仿宋" w:hAnsi="仿宋" w:eastAsia="仿宋" w:cs="仿宋"/>
          <w:b/>
          <w:bCs/>
          <w:sz w:val="30"/>
        </w:rPr>
        <w:br w:type="page" w:clear="all"/>
      </w:r>
      <w:r/>
    </w:p>
    <w:p>
      <w:pPr>
        <w:jc w:val="center"/>
        <w:spacing w:before="100" w:after="100"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lang w:val="en-US" w:eastAsia="zh-CN"/>
        </w:rPr>
        <w:t xml:space="preserve">九</w:t>
      </w:r>
      <w:r>
        <w:rPr>
          <w:rFonts w:hint="eastAsia" w:ascii="仿宋" w:hAnsi="仿宋" w:eastAsia="仿宋" w:cs="仿宋"/>
          <w:b/>
          <w:bCs/>
          <w:sz w:val="32"/>
          <w:szCs w:val="32"/>
        </w:rPr>
        <w:t xml:space="preserve">、中小企业声明函格式</w:t>
      </w:r>
      <w:r/>
    </w:p>
    <w:p>
      <w:pPr>
        <w:ind w:firstLine="560"/>
        <w:spacing w:before="100" w:after="100" w:line="45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spacing w:before="100" w:after="100" w:line="360" w:lineRule="auto"/>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JSZC-320322-XZWZ-G2025-0004</w:t>
      </w:r>
      <w:r/>
    </w:p>
    <w:p>
      <w:pPr>
        <w:spacing w:before="100" w:after="100" w:line="360" w:lineRule="auto"/>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沛县饮用水源地监测监控能力提升建设项目</w:t>
      </w:r>
      <w:r/>
    </w:p>
    <w:p>
      <w:pPr>
        <w:ind w:firstLine="482"/>
        <w:spacing w:line="440" w:lineRule="exact"/>
        <w:rPr>
          <w:rFonts w:hint="eastAsia" w:ascii="仿宋" w:hAnsi="仿宋" w:eastAsia="仿宋" w:cs="宋体"/>
          <w:sz w:val="28"/>
          <w:szCs w:val="28"/>
        </w:rPr>
      </w:pPr>
      <w:r>
        <w:rPr>
          <w:rFonts w:hint="eastAsia" w:ascii="仿宋" w:hAnsi="仿宋" w:eastAsia="仿宋" w:cs="宋体"/>
          <w:sz w:val="28"/>
          <w:szCs w:val="28"/>
        </w:rPr>
        <w:t xml:space="preserve">本公司郑重声明，根据《政府采购促进中小企业发展管理办法》（财库[2020]46号）的规定，本公司参加（</w:t>
      </w:r>
      <w:r>
        <w:rPr>
          <w:rFonts w:hint="eastAsia" w:ascii="仿宋" w:hAnsi="仿宋" w:eastAsia="仿宋" w:cs="宋体"/>
          <w:sz w:val="28"/>
          <w:szCs w:val="28"/>
          <w:u w:val="single"/>
        </w:rPr>
        <w:t xml:space="preserve">徐州市沛县生态环境局</w:t>
      </w:r>
      <w:r>
        <w:rPr>
          <w:rFonts w:hint="eastAsia" w:ascii="仿宋" w:hAnsi="仿宋" w:eastAsia="仿宋" w:cs="宋体"/>
          <w:sz w:val="28"/>
          <w:szCs w:val="28"/>
        </w:rPr>
        <w:t xml:space="preserve">）的（</w:t>
      </w:r>
      <w:r>
        <w:rPr>
          <w:rFonts w:hint="eastAsia" w:ascii="仿宋" w:hAnsi="仿宋" w:eastAsia="仿宋" w:cs="宋体"/>
          <w:sz w:val="28"/>
          <w:szCs w:val="28"/>
          <w:u w:val="single"/>
          <w:lang w:eastAsia="zh-CN"/>
        </w:rPr>
        <w:t xml:space="preserve">沛县饮用水源地监测监控能力提升建设项目</w:t>
      </w:r>
      <w:r>
        <w:rPr>
          <w:rFonts w:hint="eastAsia" w:ascii="仿宋" w:hAnsi="仿宋" w:eastAsia="仿宋" w:cs="宋体"/>
          <w:sz w:val="28"/>
          <w:szCs w:val="28"/>
        </w:rPr>
        <w:t xml:space="preserve">）采购活动，提供的货物全部由符合政策要求的中小企业制造。相关企业的具体情况如下：</w:t>
      </w:r>
      <w:r/>
    </w:p>
    <w:p>
      <w:pPr>
        <w:pStyle w:val="918"/>
        <w:ind w:left="0" w:firstLine="420"/>
        <w:spacing w:after="0" w:line="440" w:lineRule="exact"/>
        <w:rPr>
          <w:rFonts w:hint="eastAsia" w:ascii="仿宋" w:hAnsi="仿宋" w:eastAsia="仿宋" w:cs="宋体"/>
          <w:sz w:val="28"/>
          <w:szCs w:val="28"/>
        </w:rPr>
      </w:pPr>
      <w:r>
        <w:rPr>
          <w:rFonts w:hint="eastAsia" w:ascii="仿宋" w:hAnsi="仿宋" w:eastAsia="仿宋" w:cs="宋体"/>
          <w:sz w:val="28"/>
          <w:szCs w:val="28"/>
        </w:rPr>
        <w:t xml:space="preserve">1.（ 标的名称 ），属于（</w:t>
      </w:r>
      <w:r>
        <w:rPr>
          <w:rFonts w:hint="eastAsia" w:ascii="仿宋" w:hAnsi="仿宋" w:eastAsia="仿宋" w:cs="宋体"/>
          <w:sz w:val="28"/>
          <w:szCs w:val="28"/>
          <w:u w:val="none"/>
          <w:lang w:val="en-US" w:eastAsia="zh-CN"/>
        </w:rPr>
        <w:t xml:space="preserve">工业</w:t>
      </w:r>
      <w:r>
        <w:rPr>
          <w:rFonts w:hint="eastAsia" w:ascii="仿宋" w:hAnsi="仿宋" w:eastAsia="仿宋" w:cs="宋体"/>
          <w:sz w:val="28"/>
          <w:szCs w:val="28"/>
        </w:rPr>
        <w:t xml:space="preserve">）行业；制造商为（    ）（企业名称），从业人员（   ）人，营业收入为（万元），资产总额为（万元），属于（中型企业、小型企业、微型企业，</w:t>
      </w:r>
      <w:r>
        <w:rPr>
          <w:rFonts w:hint="eastAsia" w:ascii="仿宋" w:hAnsi="仿宋" w:eastAsia="仿宋" w:cs="宋体"/>
          <w:color w:val="ff0000"/>
          <w:sz w:val="28"/>
          <w:szCs w:val="28"/>
        </w:rPr>
        <w:t xml:space="preserve">请勾选！</w:t>
      </w:r>
      <w:r>
        <w:rPr>
          <w:rFonts w:hint="eastAsia" w:ascii="仿宋" w:hAnsi="仿宋" w:eastAsia="仿宋" w:cs="宋体"/>
          <w:sz w:val="28"/>
          <w:szCs w:val="28"/>
        </w:rPr>
        <w:t xml:space="preserve">）；</w:t>
      </w:r>
      <w:r/>
    </w:p>
    <w:p>
      <w:pPr>
        <w:pStyle w:val="918"/>
        <w:ind w:left="0" w:firstLine="420"/>
        <w:spacing w:after="0" w:line="440" w:lineRule="exact"/>
        <w:rPr>
          <w:rFonts w:hint="eastAsia" w:ascii="仿宋" w:hAnsi="仿宋" w:eastAsia="仿宋" w:cs="宋体"/>
          <w:sz w:val="28"/>
          <w:szCs w:val="28"/>
        </w:rPr>
      </w:pPr>
      <w:r>
        <w:rPr>
          <w:rFonts w:hint="eastAsia" w:ascii="仿宋" w:hAnsi="仿宋" w:eastAsia="仿宋" w:cs="宋体"/>
          <w:sz w:val="28"/>
          <w:szCs w:val="28"/>
        </w:rPr>
        <w:t xml:space="preserve">......</w:t>
      </w:r>
      <w:r/>
    </w:p>
    <w:p>
      <w:pPr>
        <w:pStyle w:val="918"/>
        <w:ind w:left="0" w:firstLine="420"/>
        <w:spacing w:after="0" w:line="440" w:lineRule="exact"/>
        <w:rPr>
          <w:rFonts w:hint="eastAsia" w:ascii="仿宋" w:hAnsi="仿宋" w:eastAsia="仿宋" w:cs="宋体"/>
          <w:sz w:val="28"/>
          <w:szCs w:val="28"/>
        </w:rPr>
      </w:pPr>
      <w:r>
        <w:rPr>
          <w:rFonts w:hint="eastAsia" w:ascii="仿宋" w:hAnsi="仿宋" w:eastAsia="仿宋" w:cs="宋体"/>
          <w:sz w:val="28"/>
          <w:szCs w:val="28"/>
        </w:rPr>
        <w:t xml:space="preserve">以上企业，不属于大企业的分支机构，不存在控股股东为大企业的情形，也不存在与大企业的负责人为同一人的情形。</w:t>
      </w:r>
      <w:r/>
    </w:p>
    <w:p>
      <w:pPr>
        <w:ind w:firstLine="420"/>
        <w:spacing w:line="440" w:lineRule="exact"/>
        <w:rPr>
          <w:rFonts w:hint="eastAsia" w:ascii="仿宋" w:hAnsi="仿宋" w:eastAsia="仿宋" w:cs="宋体"/>
          <w:sz w:val="28"/>
          <w:szCs w:val="28"/>
        </w:rPr>
      </w:pPr>
      <w:r>
        <w:rPr>
          <w:rFonts w:hint="eastAsia" w:ascii="仿宋" w:hAnsi="仿宋" w:eastAsia="仿宋" w:cs="宋体"/>
          <w:sz w:val="28"/>
          <w:szCs w:val="28"/>
        </w:rPr>
        <w:t xml:space="preserve">本企业对上述声明内容的真实性负责。如有虚假，将依法承担相应责任。</w:t>
      </w:r>
      <w:r/>
    </w:p>
    <w:p>
      <w:pPr>
        <w:pStyle w:val="918"/>
        <w:ind w:left="0"/>
        <w:spacing w:line="360" w:lineRule="auto"/>
        <w:rPr>
          <w:rFonts w:hint="eastAsia" w:ascii="仿宋" w:hAnsi="仿宋" w:eastAsia="仿宋" w:cs="仿宋"/>
          <w:sz w:val="24"/>
        </w:rPr>
      </w:pPr>
      <w:r>
        <w:rPr>
          <w:rFonts w:hint="eastAsia" w:ascii="仿宋" w:hAnsi="仿宋" w:eastAsia="仿宋" w:cs="仿宋"/>
          <w:sz w:val="24"/>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 （电子签章）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pStyle w:val="918"/>
        <w:ind w:left="0"/>
        <w:jc w:val="left"/>
        <w:spacing w:after="0"/>
        <w:rPr>
          <w:rFonts w:hint="eastAsia" w:ascii="仿宋" w:hAnsi="仿宋" w:eastAsia="仿宋" w:cs="仿宋"/>
          <w:b/>
          <w:bCs/>
          <w:sz w:val="28"/>
          <w:szCs w:val="28"/>
        </w:rPr>
      </w:pPr>
      <w:r>
        <w:rPr>
          <w:rFonts w:hint="eastAsia" w:ascii="仿宋" w:hAnsi="仿宋" w:eastAsia="仿宋" w:cs="仿宋"/>
          <w:b/>
          <w:bCs/>
          <w:sz w:val="28"/>
          <w:szCs w:val="28"/>
        </w:rPr>
        <w:t xml:space="preserve">说明：</w:t>
      </w:r>
      <w:r/>
    </w:p>
    <w:p>
      <w:pPr>
        <w:pStyle w:val="918"/>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8"/>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2、从业人员、营业收入、资产总额填报供应商上一年度数据，无上一年度数据的新成立企业可不填报。</w:t>
      </w:r>
      <w:r/>
    </w:p>
    <w:p>
      <w:pPr>
        <w:pStyle w:val="918"/>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3、中标、成交供应商为小型、微型企业的，采购人或者其委托的采购代理机构有权随中标、成交结果同时公告其《中小企业声明函》，接受社会监督。</w:t>
      </w:r>
      <w:r/>
    </w:p>
    <w:p>
      <w:pPr>
        <w:pStyle w:val="918"/>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4、执行江苏省财政厅关于进一步加大政府采购支持中小企业力度的通知（苏财购〔2022〕45号）的规定。</w:t>
      </w:r>
      <w:r/>
    </w:p>
    <w:p>
      <w:pPr>
        <w:pStyle w:val="918"/>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5、供应商提供的《中小企业声明函》与事实不符的，依照《政府采购法》第七十七条第一款的规定追究法律责任。</w:t>
      </w:r>
      <w:r/>
    </w:p>
    <w:p>
      <w:pPr>
        <w:pStyle w:val="918"/>
        <w:ind w:left="0"/>
        <w:spacing w:after="0"/>
        <w:rPr>
          <w:rFonts w:hint="eastAsia" w:ascii="仿宋" w:hAnsi="仿宋" w:eastAsia="仿宋" w:cs="仿宋"/>
          <w:b/>
          <w:bCs/>
          <w:sz w:val="28"/>
          <w:szCs w:val="28"/>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“中小企业声明函”查询渠道用微信搜索“中小企业规模类型自测小程序”。</w:t>
      </w:r>
      <w:r/>
    </w:p>
    <w:p>
      <w:pPr>
        <w:jc w:val="left"/>
        <w:widowControl/>
        <w:rPr>
          <w:rFonts w:hint="eastAsia" w:ascii="仿宋" w:hAnsi="仿宋" w:eastAsia="仿宋" w:cs="仿宋"/>
          <w:sz w:val="28"/>
          <w:szCs w:val="28"/>
        </w:rPr>
      </w:pPr>
      <w:r>
        <w:rPr>
          <w:rFonts w:hint="eastAsia" w:ascii="仿宋" w:hAnsi="仿宋" w:eastAsia="仿宋" w:cs="仿宋"/>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259965" cy="4653915"/>
                <wp:effectExtent l="0" t="0" r="6985" b="13333"/>
                <wp:docPr id="4" name="图片 8" descr="D:\Tencent\微信\WeChat Files\wxid_1c6io8gl77vj22\FileStorage\Temp\912730e80772119968377d556d5bbbe.jpg"/>
                <wp:cNvGraphicFramePr/>
                <a:graphic xmlns:a="http://schemas.openxmlformats.org/drawingml/2006/main">
                  <a:graphicData uri="http://schemas.openxmlformats.org/drawingml/2006/picture">
                    <pic:pic xmlns:pic="http://schemas.openxmlformats.org/drawingml/2006/picture">
                      <pic:nvPicPr>
                        <pic:cNvPr id="1027" name="图片 8" descr="D:\Tencent\微信\WeChat Files\wxid_1c6io8gl77vj22\FileStorage\Temp\912730e80772119968377d556d5bbbe.jpg"/>
                        <pic:cNvPicPr/>
                        <pic:nvPr/>
                      </pic:nvPicPr>
                      <pic:blipFill>
                        <a:blip r:embed="rId15"/>
                        <a:srcRect l="0" t="4827" r="0" b="0"/>
                        <a:stretch/>
                      </pic:blipFill>
                      <pic:spPr bwMode="auto">
                        <a:xfrm>
                          <a:off x="0" y="0"/>
                          <a:ext cx="2259965" cy="465391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9pt;height:366.4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rPr>
        <w:br w:type="page" w:clear="all"/>
      </w:r>
      <w:r>
        <w:rPr>
          <w:rFonts w:hint="eastAsia" w:ascii="仿宋" w:hAnsi="仿宋" w:eastAsia="仿宋" w:cs="仿宋"/>
          <w:b/>
          <w:bCs/>
          <w:sz w:val="32"/>
          <w:szCs w:val="32"/>
        </w:rPr>
        <w:t xml:space="preserve">十、残疾人福利性单位声明函格式</w:t>
      </w:r>
      <w:r/>
    </w:p>
    <w:p>
      <w:pPr>
        <w:jc w:val="cente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（如投标人不属于残疾人福利性单位不需要提供此声明函）</w:t>
      </w:r>
      <w:r/>
    </w:p>
    <w:p>
      <w:pPr>
        <w:ind w:firstLine="624"/>
        <w:spacing w:line="479" w:lineRule="atLeast"/>
        <w:rPr>
          <w:rFonts w:hint="eastAsia"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r>
      <w:r/>
    </w:p>
    <w:p>
      <w:pPr>
        <w:spacing w:line="360" w:lineRule="auto"/>
        <w:rPr>
          <w:rFonts w:hint="eastAsia" w:ascii="仿宋" w:hAnsi="仿宋" w:eastAsia="仿宋" w:cs="仿宋"/>
          <w:spacing w:val="6"/>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项目编号：</w:t>
      </w:r>
      <w:r>
        <w:rPr>
          <w:rFonts w:hint="eastAsia" w:ascii="仿宋" w:hAnsi="仿宋" w:eastAsia="仿宋" w:cs="仿宋"/>
          <w:spacing w:val="6"/>
          <w:sz w:val="30"/>
          <w:lang w:eastAsia="zh-CN"/>
        </w:rPr>
        <w:t xml:space="preserve">JSZC-320322-XZWZ-G2025-0004</w:t>
      </w:r>
      <w:r/>
    </w:p>
    <w:p>
      <w:pPr>
        <w:spacing w:line="360" w:lineRule="auto"/>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项目名称：</w:t>
      </w:r>
      <w:r>
        <w:rPr>
          <w:rFonts w:hint="eastAsia" w:ascii="仿宋" w:hAnsi="仿宋" w:eastAsia="仿宋" w:cs="仿宋"/>
          <w:spacing w:val="6"/>
          <w:sz w:val="30"/>
          <w:lang w:eastAsia="zh-CN"/>
        </w:rPr>
        <w:t xml:space="preserve">沛县饮用水源地监测监控能力提升建设项目</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本单位郑重声明，根据《财政部 民政部 中国残疾人联合会关于促进残疾人就业政府采购政策的通知》（财库</w:t>
      </w:r>
      <w:r>
        <w:rPr>
          <w:rFonts w:hint="eastAsia" w:ascii="仿宋" w:hAnsi="仿宋" w:eastAsia="仿宋" w:cs="仿宋"/>
          <w:sz w:val="30"/>
        </w:rPr>
        <w:t xml:space="preserve">〔2017〕 141</w:t>
      </w:r>
      <w:r>
        <w:rPr>
          <w:rFonts w:hint="eastAsia" w:ascii="仿宋" w:hAnsi="仿宋" w:eastAsia="仿宋" w:cs="仿宋"/>
          <w:spacing w:val="6"/>
          <w:sz w:val="30"/>
        </w:rPr>
        <w:t xml:space="preserve">号）的规定，本单位为符合条件的残疾人福利性单位，且本单位参加</w:t>
      </w:r>
      <w:r>
        <w:rPr>
          <w:rFonts w:hint="eastAsia" w:ascii="仿宋" w:hAnsi="仿宋" w:eastAsia="仿宋" w:cs="仿宋"/>
          <w:sz w:val="30"/>
        </w:rPr>
        <w:t xml:space="preserve">______</w:t>
      </w:r>
      <w:r>
        <w:rPr>
          <w:rFonts w:hint="eastAsia" w:ascii="仿宋" w:hAnsi="仿宋" w:eastAsia="仿宋" w:cs="仿宋"/>
          <w:spacing w:val="6"/>
          <w:sz w:val="30"/>
        </w:rPr>
        <w:t xml:space="preserve">单位的</w:t>
      </w:r>
      <w:r>
        <w:rPr>
          <w:rFonts w:hint="eastAsia" w:ascii="仿宋" w:hAnsi="仿宋" w:eastAsia="仿宋" w:cs="仿宋"/>
          <w:sz w:val="30"/>
        </w:rPr>
        <w:t xml:space="preserve">______</w:t>
      </w:r>
      <w:r>
        <w:rPr>
          <w:rFonts w:hint="eastAsia" w:ascii="仿宋" w:hAnsi="仿宋" w:eastAsia="仿宋" w:cs="仿宋"/>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本单位对上述声明的真实性负责。如有虚假，将依法承担相应责任。</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255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4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45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、投标人参加政府采购活动前3年内在经营活动中没有重大违法记录的书面声明格式</w:t>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我单位在参加</w:t>
      </w:r>
      <w:r>
        <w:rPr>
          <w:rFonts w:hint="eastAsia" w:ascii="仿宋" w:hAnsi="仿宋" w:eastAsia="仿宋" w:cs="仿宋"/>
          <w:sz w:val="30"/>
          <w:u w:val="single"/>
          <w:lang w:eastAsia="zh-CN"/>
        </w:rPr>
        <w:t xml:space="preserve">沛县饮用水源地监测监控能力提升建设项目</w:t>
      </w:r>
      <w:r>
        <w:rPr>
          <w:rFonts w:hint="eastAsia" w:ascii="仿宋" w:hAnsi="仿宋" w:eastAsia="仿宋" w:cs="仿宋"/>
          <w:sz w:val="30"/>
        </w:rPr>
        <w:t xml:space="preserve">（项目编号：</w:t>
      </w:r>
      <w:r>
        <w:rPr>
          <w:rFonts w:hint="eastAsia" w:ascii="仿宋" w:hAnsi="仿宋" w:eastAsia="仿宋" w:cs="仿宋"/>
          <w:sz w:val="30"/>
          <w:u w:val="single"/>
          <w:lang w:eastAsia="zh-CN"/>
        </w:rPr>
        <w:t xml:space="preserve">JSZC-320322-XZWZ-G2025-0004</w:t>
      </w:r>
      <w:r>
        <w:rPr>
          <w:rFonts w:hint="eastAsia" w:ascii="仿宋" w:hAnsi="仿宋" w:eastAsia="仿宋" w:cs="仿宋"/>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我单位对上述声明的真实性负责。如有虚假，将依法承担相应责任。</w:t>
      </w:r>
      <w:r/>
    </w:p>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85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7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ind w:firstLine="600"/>
        <w:jc w:val="cente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sz w:val="30"/>
        </w:rPr>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二</w:t>
      </w:r>
      <w:r>
        <w:rPr>
          <w:rFonts w:hint="eastAsia" w:ascii="仿宋" w:hAnsi="仿宋" w:eastAsia="仿宋" w:cs="仿宋"/>
          <w:b/>
          <w:bCs/>
          <w:sz w:val="32"/>
          <w:szCs w:val="32"/>
        </w:rPr>
        <w:t xml:space="preserve">、预付款保函支付条款模板</w:t>
      </w:r>
      <w:r/>
    </w:p>
    <w:p>
      <w:pPr>
        <w:ind w:firstLine="605"/>
        <w:spacing w:line="479"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符合条件一：提交预付款保函的</w:t>
      </w:r>
      <w:r/>
    </w:p>
    <w:p>
      <w:pPr>
        <w:ind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（1）合同签订且乙方向甲方出具预付款保函后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        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符合条件二：不提交预付款保函的</w:t>
      </w:r>
      <w:r/>
    </w:p>
    <w:p>
      <w:pPr>
        <w:ind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ind w:left="140"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注:</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1、付款条件一中，出具预付款保函后支付的合同款应当与保函金额一致。</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Luce">
    <w:panose1 w:val="020B0503020202020204"/>
  </w:font>
  <w:font w:name="FangSong">
    <w:panose1 w:val="02010609060101010101"/>
  </w:font>
  <w:font w:name="Wingdings">
    <w:panose1 w:val="05000000000000000000"/>
  </w:font>
  <w:font w:name="Cambria">
    <w:panose1 w:val="02040503050406030204"/>
  </w:font>
  <w:font w:name="Tahoma">
    <w:panose1 w:val="020B0604030504040204"/>
  </w:font>
  <w:font w:name="PMingLiU">
    <w:panose1 w:val="02020500000000000000"/>
  </w:font>
  <w:font w:name="Calibri Light">
    <w:panose1 w:val="020F0302020204030204"/>
  </w:font>
  <w:font w:name="Symbol">
    <w:panose1 w:val="05050102010706020507"/>
  </w:font>
  <w:font w:name="新宋体">
    <w:panose1 w:val="02010609030101010101"/>
  </w:font>
  <w:font w:name="仿宋">
    <w:panose1 w:val="02010609060101010101"/>
  </w:font>
  <w:font w:name="等线">
    <w:panose1 w:val="02010600030101010101"/>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69"/>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69"/>
                          </w:pPr>
                          <w:r>
                            <w:fldChar w:fldCharType="begin"/>
                          </w:r>
                          <w:r>
                            <w:instrText xml:space="preserve"> PAGE  \* MERGEFORMAT </w:instrText>
                          </w:r>
                          <w:r>
                            <w:fldChar w:fldCharType="separate"/>
                          </w:r>
                          <w:r>
                            <w:t xml:space="preserve">25</w:t>
                          </w:r>
                          <w:r>
                            <w:fldChar w:fldCharType="end"/>
                          </w:r>
                          <w:r/>
                        </w:p>
                      </w:txbxContent>
                    </wps:txbx>
                    <wps:bodyPr vert="horz" wrap="none" lIns="0" tIns="0" rIns="0" bIns="0" anchor="t"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69"/>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3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751"/>
    <w:link w:val="742"/>
    <w:uiPriority w:val="9"/>
    <w:rPr>
      <w:rFonts w:ascii="Arial" w:hAnsi="Arial" w:eastAsia="Arial" w:cs="Arial"/>
      <w:sz w:val="40"/>
      <w:szCs w:val="40"/>
    </w:rPr>
  </w:style>
  <w:style w:type="character" w:styleId="727">
    <w:name w:val="Heading 2 Char"/>
    <w:basedOn w:val="751"/>
    <w:link w:val="743"/>
    <w:uiPriority w:val="9"/>
    <w:rPr>
      <w:rFonts w:ascii="Arial" w:hAnsi="Arial" w:eastAsia="Arial" w:cs="Arial"/>
      <w:sz w:val="34"/>
    </w:rPr>
  </w:style>
  <w:style w:type="character" w:styleId="728">
    <w:name w:val="Heading 3 Char"/>
    <w:basedOn w:val="751"/>
    <w:link w:val="744"/>
    <w:uiPriority w:val="9"/>
    <w:rPr>
      <w:rFonts w:ascii="Arial" w:hAnsi="Arial" w:eastAsia="Arial" w:cs="Arial"/>
      <w:sz w:val="30"/>
      <w:szCs w:val="30"/>
    </w:rPr>
  </w:style>
  <w:style w:type="character" w:styleId="729">
    <w:name w:val="Heading 4 Char"/>
    <w:basedOn w:val="751"/>
    <w:link w:val="745"/>
    <w:uiPriority w:val="9"/>
    <w:rPr>
      <w:rFonts w:ascii="Arial" w:hAnsi="Arial" w:eastAsia="Arial" w:cs="Arial"/>
      <w:b/>
      <w:bCs/>
      <w:sz w:val="26"/>
      <w:szCs w:val="26"/>
    </w:rPr>
  </w:style>
  <w:style w:type="character" w:styleId="730">
    <w:name w:val="Heading 5 Char"/>
    <w:basedOn w:val="751"/>
    <w:link w:val="746"/>
    <w:uiPriority w:val="9"/>
    <w:rPr>
      <w:rFonts w:ascii="Arial" w:hAnsi="Arial" w:eastAsia="Arial" w:cs="Arial"/>
      <w:b/>
      <w:bCs/>
      <w:sz w:val="24"/>
      <w:szCs w:val="24"/>
    </w:rPr>
  </w:style>
  <w:style w:type="character" w:styleId="731">
    <w:name w:val="Heading 6 Char"/>
    <w:basedOn w:val="751"/>
    <w:link w:val="747"/>
    <w:uiPriority w:val="9"/>
    <w:rPr>
      <w:rFonts w:ascii="Arial" w:hAnsi="Arial" w:eastAsia="Arial" w:cs="Arial"/>
      <w:b/>
      <w:bCs/>
      <w:sz w:val="22"/>
      <w:szCs w:val="22"/>
    </w:rPr>
  </w:style>
  <w:style w:type="character" w:styleId="732">
    <w:name w:val="Heading 7 Char"/>
    <w:basedOn w:val="751"/>
    <w:link w:val="748"/>
    <w:uiPriority w:val="9"/>
    <w:rPr>
      <w:rFonts w:ascii="Arial" w:hAnsi="Arial" w:eastAsia="Arial" w:cs="Arial"/>
      <w:b/>
      <w:bCs/>
      <w:i/>
      <w:iCs/>
      <w:sz w:val="22"/>
      <w:szCs w:val="22"/>
    </w:rPr>
  </w:style>
  <w:style w:type="character" w:styleId="733">
    <w:name w:val="Heading 8 Char"/>
    <w:basedOn w:val="751"/>
    <w:link w:val="749"/>
    <w:uiPriority w:val="9"/>
    <w:rPr>
      <w:rFonts w:ascii="Arial" w:hAnsi="Arial" w:eastAsia="Arial" w:cs="Arial"/>
      <w:i/>
      <w:iCs/>
      <w:sz w:val="22"/>
      <w:szCs w:val="22"/>
    </w:rPr>
  </w:style>
  <w:style w:type="character" w:styleId="734">
    <w:name w:val="Heading 9 Char"/>
    <w:basedOn w:val="751"/>
    <w:link w:val="750"/>
    <w:uiPriority w:val="9"/>
    <w:rPr>
      <w:rFonts w:ascii="Arial" w:hAnsi="Arial" w:eastAsia="Arial" w:cs="Arial"/>
      <w:i/>
      <w:iCs/>
      <w:sz w:val="21"/>
      <w:szCs w:val="21"/>
    </w:rPr>
  </w:style>
  <w:style w:type="character" w:styleId="735">
    <w:name w:val="Title Char"/>
    <w:basedOn w:val="751"/>
    <w:link w:val="781"/>
    <w:uiPriority w:val="10"/>
    <w:rPr>
      <w:sz w:val="48"/>
      <w:szCs w:val="48"/>
    </w:rPr>
  </w:style>
  <w:style w:type="character" w:styleId="736">
    <w:name w:val="Quote Char"/>
    <w:link w:val="790"/>
    <w:uiPriority w:val="29"/>
    <w:rPr>
      <w:i/>
    </w:rPr>
  </w:style>
  <w:style w:type="character" w:styleId="737">
    <w:name w:val="Intense Quote Char"/>
    <w:link w:val="916"/>
    <w:uiPriority w:val="30"/>
    <w:rPr>
      <w:i/>
    </w:rPr>
  </w:style>
  <w:style w:type="character" w:styleId="738">
    <w:name w:val="Header Char"/>
    <w:basedOn w:val="751"/>
    <w:link w:val="770"/>
    <w:uiPriority w:val="99"/>
  </w:style>
  <w:style w:type="character" w:styleId="739">
    <w:name w:val="Footer Char"/>
    <w:basedOn w:val="751"/>
    <w:link w:val="769"/>
    <w:uiPriority w:val="99"/>
  </w:style>
  <w:style w:type="paragraph" w:styleId="740">
    <w:name w:val="TOC Heading"/>
    <w:uiPriority w:val="39"/>
    <w:unhideWhenUsed/>
  </w:style>
  <w:style w:type="paragraph" w:styleId="741" w:default="1">
    <w:name w:val="Normal"/>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name w:val="Heading 1"/>
    <w:basedOn w:val="741"/>
    <w:next w:val="741"/>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uiPriority w:val="0"/>
    <w:qFormat/>
    <w:pPr>
      <w:jc w:val="left"/>
      <w:keepLines/>
      <w:keepNext/>
      <w:spacing w:before="50"/>
      <w:tabs>
        <w:tab w:val="left" w:pos="0" w:leader="none"/>
      </w:tabs>
      <w:outlineLvl w:val="1"/>
    </w:pPr>
    <w:rPr>
      <w:rFonts w:ascii="Arial" w:hAnsi="Arial" w:eastAsia="黑体"/>
      <w:sz w:val="32"/>
      <w:szCs w:val="20"/>
    </w:rPr>
  </w:style>
  <w:style w:type="paragraph" w:styleId="744">
    <w:name w:val="Heading 3"/>
    <w:basedOn w:val="741"/>
    <w:next w:val="741"/>
    <w:uiPriority w:val="9"/>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844"/>
    <w:uiPriority w:val="9"/>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45"/>
    <w:uiPriority w:val="9"/>
    <w:qFormat/>
    <w:pPr>
      <w:keepLines/>
      <w:keepNext/>
      <w:spacing w:before="320" w:after="200"/>
      <w:outlineLvl w:val="4"/>
    </w:pPr>
    <w:rPr>
      <w:rFonts w:ascii="Arial" w:hAnsi="Arial" w:eastAsia="Arial" w:cs="Arial"/>
      <w:b/>
      <w:bCs/>
      <w:sz w:val="24"/>
    </w:rPr>
  </w:style>
  <w:style w:type="paragraph" w:styleId="747">
    <w:name w:val="Heading 6"/>
    <w:basedOn w:val="741"/>
    <w:next w:val="741"/>
    <w:link w:val="846"/>
    <w:uiPriority w:val="9"/>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47"/>
    <w:uiPriority w:val="9"/>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48"/>
    <w:uiPriority w:val="9"/>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49"/>
    <w:uiPriority w:val="9"/>
    <w:qFormat/>
    <w:pPr>
      <w:keepLines/>
      <w:keepNext/>
      <w:spacing w:before="320" w:after="200"/>
      <w:outlineLvl w:val="8"/>
    </w:pPr>
    <w:rPr>
      <w:rFonts w:ascii="Arial" w:hAnsi="Arial" w:eastAsia="Arial" w:cs="Arial"/>
      <w:i/>
      <w:iCs/>
      <w:szCs w:val="21"/>
    </w:rPr>
  </w:style>
  <w:style w:type="character" w:styleId="751" w:default="1">
    <w:name w:val="Default Paragraph Font"/>
    <w:uiPriority w:val="1"/>
    <w:qFormat/>
  </w:style>
  <w:style w:type="table" w:styleId="752" w:default="1">
    <w:name w:val="Normal Table"/>
    <w:uiPriority w:val="99"/>
    <w:qFormat/>
    <w:tblPr>
      <w:tblCellMar>
        <w:left w:w="108" w:type="dxa"/>
        <w:top w:w="0" w:type="dxa"/>
        <w:right w:w="108" w:type="dxa"/>
        <w:bottom w:w="0" w:type="dxa"/>
      </w:tblCellMar>
    </w:tblPr>
  </w:style>
  <w:style w:type="paragraph" w:styleId="753" w:customStyle="1">
    <w:name w:val="目录 11"/>
    <w:basedOn w:val="754"/>
    <w:next w:val="756"/>
    <w:uiPriority w:val="0"/>
    <w:qFormat/>
    <w:pPr>
      <w:spacing w:before="120" w:after="120"/>
      <w:widowControl/>
    </w:pPr>
    <w:rPr>
      <w:rFonts w:ascii="Calibri" w:cs="Calibri"/>
      <w:b/>
      <w:bCs/>
      <w:caps/>
      <w:sz w:val="20"/>
    </w:rPr>
  </w:style>
  <w:style w:type="paragraph" w:styleId="754" w:customStyle="1">
    <w:name w:val="正文12"/>
    <w:next w:val="7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文本块11"/>
    <w:basedOn w:val="741"/>
    <w:uiPriority w:val="0"/>
    <w:qFormat/>
    <w:pPr>
      <w:ind w:left="1440" w:right="1440"/>
      <w:spacing w:after="120"/>
    </w:pPr>
    <w:rPr>
      <w:rFonts w:ascii="Calibri" w:hAnsi="Calibri"/>
    </w:rPr>
  </w:style>
  <w:style w:type="paragraph" w:styleId="756" w:customStyle="1">
    <w:name w:val="正文11"/>
    <w:next w:val="753"/>
    <w:uiPriority w:val="0"/>
    <w:qFormat/>
    <w:pPr>
      <w:jc w:val="both"/>
    </w:pPr>
    <w:rPr>
      <w:rFonts w:hint="default" w:ascii="Times New Roman" w:hAnsi="Times New Roman" w:eastAsia="宋体" w:cs="Times New Roman"/>
      <w:lang w:val="en-US" w:eastAsia="zh-CN" w:bidi="ar-SA"/>
    </w:rPr>
  </w:style>
  <w:style w:type="paragraph" w:styleId="757">
    <w:name w:val="toc 7"/>
    <w:basedOn w:val="741"/>
    <w:next w:val="741"/>
    <w:uiPriority w:val="39"/>
    <w:qFormat/>
    <w:pPr>
      <w:ind w:left="1701"/>
      <w:spacing w:after="57"/>
    </w:pPr>
  </w:style>
  <w:style w:type="paragraph" w:styleId="758">
    <w:name w:val="Caption"/>
    <w:basedOn w:val="741"/>
    <w:next w:val="741"/>
    <w:uiPriority w:val="35"/>
    <w:qFormat/>
    <w:pPr>
      <w:spacing w:line="276" w:lineRule="auto"/>
    </w:pPr>
    <w:rPr>
      <w:b/>
      <w:bCs/>
      <w:color w:val="4f81bd"/>
      <w:sz w:val="18"/>
      <w:szCs w:val="18"/>
    </w:rPr>
  </w:style>
  <w:style w:type="paragraph" w:styleId="759">
    <w:name w:val="annotation text"/>
    <w:basedOn w:val="741"/>
    <w:link w:val="1078"/>
    <w:uiPriority w:val="99"/>
    <w:qFormat/>
    <w:pPr>
      <w:jc w:val="left"/>
    </w:pPr>
  </w:style>
  <w:style w:type="paragraph" w:styleId="760">
    <w:name w:val="Body Text"/>
    <w:basedOn w:val="741"/>
    <w:uiPriority w:val="99"/>
    <w:qFormat/>
    <w:pPr>
      <w:spacing w:after="120"/>
    </w:pPr>
    <w:rPr>
      <w:rFonts w:ascii="Calibri" w:hAnsi="Calibri"/>
    </w:rPr>
  </w:style>
  <w:style w:type="paragraph" w:styleId="761">
    <w:name w:val="Body Text Indent"/>
    <w:basedOn w:val="741"/>
    <w:uiPriority w:val="0"/>
    <w:qFormat/>
    <w:pPr>
      <w:ind w:left="420"/>
      <w:spacing w:after="120"/>
    </w:pPr>
    <w:rPr>
      <w:rFonts w:ascii="Calibri" w:hAnsi="Calibri"/>
    </w:rPr>
  </w:style>
  <w:style w:type="paragraph" w:styleId="762">
    <w:name w:val="Block Text"/>
    <w:basedOn w:val="741"/>
    <w:uiPriority w:val="99"/>
    <w:qFormat/>
    <w:pPr>
      <w:ind w:left="1440" w:right="700"/>
      <w:spacing w:after="120"/>
    </w:pPr>
  </w:style>
  <w:style w:type="paragraph" w:styleId="763">
    <w:name w:val="toc 5"/>
    <w:basedOn w:val="741"/>
    <w:next w:val="741"/>
    <w:uiPriority w:val="39"/>
    <w:qFormat/>
    <w:pPr>
      <w:ind w:left="1134"/>
      <w:spacing w:after="57"/>
    </w:pPr>
  </w:style>
  <w:style w:type="paragraph" w:styleId="764">
    <w:name w:val="toc 3"/>
    <w:basedOn w:val="741"/>
    <w:next w:val="741"/>
    <w:uiPriority w:val="39"/>
    <w:qFormat/>
    <w:pPr>
      <w:ind w:left="567"/>
      <w:spacing w:after="57"/>
    </w:pPr>
  </w:style>
  <w:style w:type="paragraph" w:styleId="765">
    <w:name w:val="Plain Text"/>
    <w:basedOn w:val="741"/>
    <w:uiPriority w:val="0"/>
    <w:qFormat/>
    <w:rPr>
      <w:rFonts w:ascii="宋体" w:hAnsi="Courier New"/>
      <w:szCs w:val="22"/>
    </w:rPr>
  </w:style>
  <w:style w:type="paragraph" w:styleId="766">
    <w:name w:val="toc 8"/>
    <w:basedOn w:val="741"/>
    <w:next w:val="741"/>
    <w:uiPriority w:val="39"/>
    <w:qFormat/>
    <w:pPr>
      <w:ind w:left="1984"/>
      <w:spacing w:after="57"/>
    </w:pPr>
  </w:style>
  <w:style w:type="paragraph" w:styleId="767">
    <w:name w:val="endnote text"/>
    <w:basedOn w:val="741"/>
    <w:link w:val="854"/>
    <w:uiPriority w:val="99"/>
    <w:qFormat/>
    <w:rPr>
      <w:sz w:val="20"/>
    </w:rPr>
  </w:style>
  <w:style w:type="paragraph" w:styleId="768">
    <w:name w:val="Balloon Text"/>
    <w:basedOn w:val="741"/>
    <w:link w:val="1077"/>
    <w:uiPriority w:val="99"/>
    <w:qFormat/>
    <w:rPr>
      <w:sz w:val="18"/>
      <w:szCs w:val="18"/>
    </w:rPr>
  </w:style>
  <w:style w:type="paragraph" w:styleId="769">
    <w:name w:val="Footer"/>
    <w:basedOn w:val="741"/>
    <w:uiPriority w:val="99"/>
    <w:qFormat/>
    <w:pPr>
      <w:tabs>
        <w:tab w:val="center" w:pos="7143" w:leader="none"/>
        <w:tab w:val="right" w:pos="14287" w:leader="none"/>
      </w:tabs>
    </w:pPr>
  </w:style>
  <w:style w:type="paragraph" w:styleId="770">
    <w:name w:val="Header"/>
    <w:basedOn w:val="741"/>
    <w:uiPriority w:val="99"/>
    <w:qFormat/>
    <w:pPr>
      <w:tabs>
        <w:tab w:val="center" w:pos="7143" w:leader="none"/>
        <w:tab w:val="right" w:pos="14287" w:leader="none"/>
      </w:tabs>
    </w:pPr>
  </w:style>
  <w:style w:type="paragraph" w:styleId="771">
    <w:name w:val="toc 1"/>
    <w:basedOn w:val="741"/>
    <w:next w:val="741"/>
    <w:uiPriority w:val="39"/>
    <w:qFormat/>
    <w:pPr>
      <w:spacing w:after="57"/>
    </w:pPr>
  </w:style>
  <w:style w:type="paragraph" w:styleId="772">
    <w:name w:val="toc 4"/>
    <w:basedOn w:val="741"/>
    <w:next w:val="741"/>
    <w:uiPriority w:val="39"/>
    <w:qFormat/>
    <w:pPr>
      <w:ind w:left="850"/>
      <w:spacing w:after="57"/>
    </w:pPr>
  </w:style>
  <w:style w:type="paragraph" w:styleId="773">
    <w:name w:val="Subtitle"/>
    <w:basedOn w:val="741"/>
    <w:next w:val="741"/>
    <w:link w:val="851"/>
    <w:uiPriority w:val="11"/>
    <w:qFormat/>
    <w:pPr>
      <w:spacing w:before="200" w:after="200"/>
    </w:pPr>
    <w:rPr>
      <w:sz w:val="24"/>
    </w:rPr>
  </w:style>
  <w:style w:type="paragraph" w:styleId="774">
    <w:name w:val="footnote text"/>
    <w:basedOn w:val="741"/>
    <w:uiPriority w:val="99"/>
    <w:qFormat/>
    <w:pPr>
      <w:spacing w:after="40"/>
    </w:pPr>
    <w:rPr>
      <w:sz w:val="18"/>
    </w:rPr>
  </w:style>
  <w:style w:type="paragraph" w:styleId="775">
    <w:name w:val="toc 6"/>
    <w:basedOn w:val="741"/>
    <w:next w:val="741"/>
    <w:uiPriority w:val="39"/>
    <w:qFormat/>
    <w:pPr>
      <w:ind w:left="1417"/>
      <w:spacing w:after="57"/>
    </w:pPr>
  </w:style>
  <w:style w:type="paragraph" w:styleId="776">
    <w:name w:val="table of figures"/>
    <w:basedOn w:val="741"/>
    <w:next w:val="741"/>
    <w:uiPriority w:val="99"/>
    <w:qFormat/>
  </w:style>
  <w:style w:type="paragraph" w:styleId="777">
    <w:name w:val="toc 2"/>
    <w:basedOn w:val="741"/>
    <w:next w:val="741"/>
    <w:uiPriority w:val="39"/>
    <w:qFormat/>
    <w:pPr>
      <w:ind w:left="283"/>
      <w:spacing w:after="57"/>
    </w:pPr>
  </w:style>
  <w:style w:type="paragraph" w:styleId="778">
    <w:name w:val="toc 9"/>
    <w:basedOn w:val="741"/>
    <w:next w:val="741"/>
    <w:uiPriority w:val="39"/>
    <w:qFormat/>
    <w:pPr>
      <w:ind w:left="2268"/>
      <w:spacing w:after="57"/>
    </w:pPr>
  </w:style>
  <w:style w:type="paragraph" w:styleId="779">
    <w:name w:val="Body Text 2"/>
    <w:uiPriority w:val="0"/>
    <w:qFormat/>
    <w:pPr>
      <w:jc w:val="both"/>
      <w:spacing w:after="120" w:line="480" w:lineRule="auto"/>
      <w:widowControl w:val="off"/>
    </w:pPr>
    <w:rPr>
      <w:rFonts w:ascii="Times New Roman" w:hAnsi="Times New Roman" w:eastAsia="宋体" w:cs="Times New Roman"/>
      <w:sz w:val="28"/>
      <w:szCs w:val="21"/>
      <w:lang w:val="en-US" w:eastAsia="zh-CN" w:bidi="ar-SA"/>
    </w:rPr>
  </w:style>
  <w:style w:type="paragraph" w:styleId="780">
    <w:name w:val="Normal (Web)"/>
    <w:basedOn w:val="741"/>
    <w:uiPriority w:val="7"/>
    <w:qFormat/>
    <w:pPr>
      <w:spacing w:before="100" w:beforeAutospacing="1" w:after="100" w:afterAutospacing="1"/>
    </w:pPr>
    <w:rPr>
      <w:rFonts w:ascii="宋体" w:hAnsi="宋体" w:cs="宋体"/>
    </w:rPr>
  </w:style>
  <w:style w:type="paragraph" w:styleId="781">
    <w:name w:val="Title"/>
    <w:basedOn w:val="741"/>
    <w:next w:val="741"/>
    <w:link w:val="850"/>
    <w:uiPriority w:val="10"/>
    <w:qFormat/>
    <w:pPr>
      <w:contextualSpacing/>
      <w:spacing w:before="300" w:after="200"/>
    </w:pPr>
    <w:rPr>
      <w:sz w:val="48"/>
      <w:szCs w:val="48"/>
    </w:rPr>
  </w:style>
  <w:style w:type="paragraph" w:styleId="782">
    <w:name w:val="annotation subject"/>
    <w:basedOn w:val="759"/>
    <w:next w:val="759"/>
    <w:link w:val="1079"/>
    <w:uiPriority w:val="99"/>
    <w:qFormat/>
    <w:rPr>
      <w:b/>
      <w:bCs/>
    </w:rPr>
  </w:style>
  <w:style w:type="paragraph" w:styleId="783">
    <w:name w:val="Body Text First Indent"/>
    <w:basedOn w:val="760"/>
    <w:uiPriority w:val="0"/>
    <w:qFormat/>
    <w:pPr>
      <w:ind w:firstLine="420"/>
    </w:pPr>
    <w:rPr>
      <w:rFonts w:hint="eastAsia" w:ascii="仿宋"/>
      <w:szCs w:val="22"/>
    </w:rPr>
  </w:style>
  <w:style w:type="paragraph" w:styleId="784">
    <w:name w:val="Body Text First Indent 2"/>
    <w:basedOn w:val="761"/>
    <w:uiPriority w:val="0"/>
    <w:qFormat/>
    <w:pPr>
      <w:ind w:firstLine="420"/>
      <w:spacing w:line="360" w:lineRule="auto"/>
    </w:pPr>
    <w:rPr>
      <w:color w:val="000000"/>
      <w:sz w:val="20"/>
    </w:rPr>
  </w:style>
  <w:style w:type="table" w:styleId="7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qFormat/>
    <w:rPr>
      <w:vertAlign w:val="superscript"/>
    </w:rPr>
  </w:style>
  <w:style w:type="character" w:styleId="787">
    <w:name w:val="Hyperlink"/>
    <w:uiPriority w:val="99"/>
    <w:qFormat/>
    <w:rPr>
      <w:color w:val="0000ff"/>
      <w:u w:val="single"/>
    </w:rPr>
  </w:style>
  <w:style w:type="character" w:styleId="788">
    <w:name w:val="annotation reference"/>
    <w:basedOn w:val="751"/>
    <w:uiPriority w:val="99"/>
    <w:qFormat/>
    <w:rPr>
      <w:sz w:val="21"/>
      <w:szCs w:val="21"/>
    </w:rPr>
  </w:style>
  <w:style w:type="character" w:styleId="789">
    <w:name w:val="footnote reference"/>
    <w:uiPriority w:val="99"/>
    <w:qFormat/>
    <w:rPr>
      <w:vertAlign w:val="superscript"/>
    </w:rPr>
  </w:style>
  <w:style w:type="paragraph" w:styleId="790">
    <w:name w:val="Quote"/>
    <w:basedOn w:val="741"/>
    <w:next w:val="741"/>
    <w:link w:val="912"/>
    <w:uiPriority w:val="29"/>
    <w:qFormat/>
    <w:pPr>
      <w:ind w:left="720" w:right="720"/>
    </w:pPr>
    <w:rPr>
      <w:i/>
    </w:rPr>
  </w:style>
  <w:style w:type="table" w:styleId="791" w:customStyle="1">
    <w:name w:val="Plain Table 1"/>
    <w:basedOn w:val="752"/>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5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5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5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5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52"/>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7" w:customStyle="1">
    <w:name w:val="Grid Table 2"/>
    <w:basedOn w:val="75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98" w:customStyle="1">
    <w:name w:val="Grid Table 3"/>
    <w:basedOn w:val="75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52"/>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00" w:customStyle="1">
    <w:name w:val="Grid Table 5 Dark"/>
    <w:basedOn w:val="75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1" w:customStyle="1">
    <w:name w:val="Grid Table 6 Colorful"/>
    <w:basedOn w:val="752"/>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02" w:customStyle="1">
    <w:name w:val="Grid Table 7 Colorful"/>
    <w:basedOn w:val="752"/>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03" w:customStyle="1">
    <w:name w:val="List Table 1 Light"/>
    <w:basedOn w:val="752"/>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04" w:customStyle="1">
    <w:name w:val="List Table 2"/>
    <w:basedOn w:val="75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05" w:customStyle="1">
    <w:name w:val="List Table 3"/>
    <w:basedOn w:val="75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6" w:customStyle="1">
    <w:name w:val="List Table 4"/>
    <w:basedOn w:val="75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7" w:customStyle="1">
    <w:name w:val="List Table 5 Dark"/>
    <w:basedOn w:val="752"/>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08" w:customStyle="1">
    <w:name w:val="List Table 6 Colorful"/>
    <w:basedOn w:val="752"/>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09" w:customStyle="1">
    <w:name w:val="List Table 7 Colorful"/>
    <w:basedOn w:val="752"/>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10" w:customStyle="1">
    <w:name w:val="TOC Heading_e6252b80-51e5-4949-b42c-c13a9fb2d12b"/>
    <w:uiPriority w:val="39"/>
    <w:qFormat/>
    <w:rPr>
      <w:rFonts w:hint="default" w:ascii="Times New Roman" w:hAnsi="Times New Roman" w:eastAsia="宋体" w:cs="Times New Roman"/>
    </w:rPr>
  </w:style>
  <w:style w:type="paragraph" w:styleId="811" w:customStyle="1">
    <w:name w:val="样式1"/>
    <w:basedOn w:val="741"/>
    <w:uiPriority w:val="0"/>
    <w:qFormat/>
    <w:pPr>
      <w:ind w:firstLine="200"/>
      <w:jc w:val="left"/>
      <w:widowControl/>
    </w:pPr>
    <w:rPr>
      <w:rFonts w:ascii="宋体" w:hAnsi="宋体"/>
      <w:szCs w:val="28"/>
    </w:rPr>
  </w:style>
  <w:style w:type="table" w:styleId="812" w:customStyle="1">
    <w:name w:val="无格式表格 11"/>
    <w:basedOn w:val="81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普通表格1"/>
    <w:uiPriority w:val="99"/>
    <w:qFormat/>
    <w:tblPr>
      <w:tblCellMar>
        <w:left w:w="0" w:type="dxa"/>
        <w:top w:w="0" w:type="dxa"/>
        <w:right w:w="0" w:type="dxa"/>
        <w:bottom w:w="0" w:type="dxa"/>
      </w:tblCellMar>
    </w:tblPr>
  </w:style>
  <w:style w:type="table" w:styleId="814" w:customStyle="1">
    <w:name w:val="无格式表格 21"/>
    <w:basedOn w:val="81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813"/>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813"/>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813"/>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81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19" w:customStyle="1">
    <w:name w:val="网格表 21"/>
    <w:basedOn w:val="813"/>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0" w:customStyle="1">
    <w:name w:val="网格表 31"/>
    <w:basedOn w:val="813"/>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81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2" w:customStyle="1">
    <w:name w:val="网格表 5 深色1"/>
    <w:basedOn w:val="8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3" w:customStyle="1">
    <w:name w:val="网格表 6 彩色1"/>
    <w:basedOn w:val="81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24" w:customStyle="1">
    <w:name w:val="网格表 7 彩色1"/>
    <w:basedOn w:val="813"/>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25" w:customStyle="1">
    <w:name w:val="清单表 1 浅色1"/>
    <w:basedOn w:val="813"/>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6" w:customStyle="1">
    <w:name w:val="清单表 21"/>
    <w:basedOn w:val="813"/>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27" w:customStyle="1">
    <w:name w:val="清单表 31"/>
    <w:basedOn w:val="81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清单表 41"/>
    <w:basedOn w:val="81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清单表 5 深色1"/>
    <w:basedOn w:val="813"/>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30" w:customStyle="1">
    <w:name w:val="清单表 6 彩色1"/>
    <w:basedOn w:val="813"/>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31" w:customStyle="1">
    <w:name w:val="清单表 7 彩色1"/>
    <w:basedOn w:val="813"/>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32" w:customStyle="1">
    <w:name w:val="TOC 标题1"/>
    <w:uiPriority w:val="39"/>
    <w:qFormat/>
    <w:rPr>
      <w:rFonts w:hint="default" w:ascii="Times New Roman" w:hAnsi="Times New Roman" w:eastAsia="宋体" w:cs="Times New Roman"/>
      <w:lang w:val="en-US" w:eastAsia="zh-CN" w:bidi="ar-SA"/>
    </w:rPr>
  </w:style>
  <w:style w:type="paragraph" w:styleId="833" w:customStyle="1">
    <w:name w:val="正文缩进1"/>
    <w:basedOn w:val="741"/>
    <w:uiPriority w:val="0"/>
    <w:qFormat/>
    <w:pPr>
      <w:ind w:firstLine="420"/>
    </w:pPr>
  </w:style>
  <w:style w:type="character" w:styleId="834" w:customStyle="1">
    <w:name w:val="Heading 4 Char_ae31118e-bb62-4b2f-ba0a-95a2db5f63bb"/>
    <w:basedOn w:val="751"/>
    <w:uiPriority w:val="9"/>
    <w:qFormat/>
    <w:rPr>
      <w:rFonts w:ascii="Arial" w:hAnsi="Arial" w:eastAsia="Arial" w:cs="Arial"/>
      <w:b/>
      <w:bCs/>
      <w:sz w:val="26"/>
      <w:szCs w:val="26"/>
    </w:rPr>
  </w:style>
  <w:style w:type="character" w:styleId="835" w:customStyle="1">
    <w:name w:val="Heading 5 Char_908b49c0-6b23-4d49-96f2-8f8707c4498b"/>
    <w:basedOn w:val="751"/>
    <w:uiPriority w:val="9"/>
    <w:qFormat/>
    <w:rPr>
      <w:rFonts w:ascii="Arial" w:hAnsi="Arial" w:eastAsia="Arial" w:cs="Arial"/>
      <w:b/>
      <w:bCs/>
      <w:sz w:val="24"/>
      <w:szCs w:val="24"/>
    </w:rPr>
  </w:style>
  <w:style w:type="character" w:styleId="836" w:customStyle="1">
    <w:name w:val="Heading 6 Char_67a5b324-5a8c-4f66-afd3-cedb5854aece"/>
    <w:basedOn w:val="751"/>
    <w:uiPriority w:val="9"/>
    <w:qFormat/>
    <w:rPr>
      <w:rFonts w:ascii="Arial" w:hAnsi="Arial" w:eastAsia="Arial" w:cs="Arial"/>
      <w:b/>
      <w:bCs/>
      <w:sz w:val="22"/>
      <w:szCs w:val="22"/>
    </w:rPr>
  </w:style>
  <w:style w:type="character" w:styleId="837" w:customStyle="1">
    <w:name w:val="Heading 7 Char_7401eaea-f3ac-4e5b-8d9d-4f8750a554f1"/>
    <w:basedOn w:val="751"/>
    <w:uiPriority w:val="9"/>
    <w:qFormat/>
    <w:rPr>
      <w:rFonts w:ascii="Arial" w:hAnsi="Arial" w:eastAsia="Arial" w:cs="Arial"/>
      <w:b/>
      <w:bCs/>
      <w:i/>
      <w:iCs/>
      <w:sz w:val="22"/>
      <w:szCs w:val="22"/>
    </w:rPr>
  </w:style>
  <w:style w:type="character" w:styleId="838" w:customStyle="1">
    <w:name w:val="Heading 8 Char_1707bc95-4a66-449c-8758-f54528cc25fc"/>
    <w:basedOn w:val="751"/>
    <w:uiPriority w:val="9"/>
    <w:qFormat/>
    <w:rPr>
      <w:rFonts w:ascii="Arial" w:hAnsi="Arial" w:eastAsia="Arial" w:cs="Arial"/>
      <w:i/>
      <w:iCs/>
      <w:sz w:val="22"/>
      <w:szCs w:val="22"/>
    </w:rPr>
  </w:style>
  <w:style w:type="character" w:styleId="839" w:customStyle="1">
    <w:name w:val="Heading 9 Char_7efd95bc-b471-44a2-98f6-a5aa2f987041"/>
    <w:basedOn w:val="751"/>
    <w:uiPriority w:val="9"/>
    <w:qFormat/>
    <w:rPr>
      <w:rFonts w:ascii="Arial" w:hAnsi="Arial" w:eastAsia="Arial" w:cs="Arial"/>
      <w:i/>
      <w:iCs/>
      <w:sz w:val="21"/>
      <w:szCs w:val="21"/>
    </w:rPr>
  </w:style>
  <w:style w:type="character" w:styleId="840" w:customStyle="1">
    <w:name w:val="Title Char_1dd63262-ba88-40ef-bdc7-752ecd2c4c42"/>
    <w:basedOn w:val="751"/>
    <w:uiPriority w:val="10"/>
    <w:qFormat/>
    <w:rPr>
      <w:sz w:val="48"/>
      <w:szCs w:val="48"/>
    </w:rPr>
  </w:style>
  <w:style w:type="character" w:styleId="841" w:customStyle="1">
    <w:name w:val="Subtitle Char"/>
    <w:basedOn w:val="751"/>
    <w:uiPriority w:val="11"/>
    <w:qFormat/>
    <w:rPr>
      <w:sz w:val="24"/>
      <w:szCs w:val="24"/>
    </w:rPr>
  </w:style>
  <w:style w:type="character" w:styleId="842" w:customStyle="1">
    <w:name w:val="Endnote Text Char"/>
    <w:uiPriority w:val="99"/>
    <w:qFormat/>
    <w:rPr>
      <w:sz w:val="20"/>
    </w:rPr>
  </w:style>
  <w:style w:type="paragraph" w:styleId="843" w:customStyle="1">
    <w:name w:val="TOC 标题112"/>
    <w:uiPriority w:val="39"/>
    <w:qFormat/>
    <w:rPr>
      <w:rFonts w:hint="default" w:ascii="Times New Roman" w:hAnsi="Times New Roman" w:eastAsia="宋体" w:cs="Times New Roman"/>
      <w:lang w:val="en-US" w:eastAsia="zh-CN" w:bidi="ar-SA"/>
    </w:rPr>
  </w:style>
  <w:style w:type="character" w:styleId="844" w:customStyle="1">
    <w:name w:val="标题 4 字符"/>
    <w:link w:val="745"/>
    <w:uiPriority w:val="9"/>
    <w:qFormat/>
    <w:rPr>
      <w:rFonts w:ascii="Arial" w:hAnsi="Arial" w:eastAsia="Arial" w:cs="Arial"/>
      <w:b/>
      <w:bCs/>
      <w:sz w:val="26"/>
      <w:szCs w:val="26"/>
    </w:rPr>
  </w:style>
  <w:style w:type="character" w:styleId="845" w:customStyle="1">
    <w:name w:val="标题 5 字符"/>
    <w:link w:val="746"/>
    <w:uiPriority w:val="9"/>
    <w:qFormat/>
    <w:rPr>
      <w:rFonts w:ascii="Arial" w:hAnsi="Arial" w:eastAsia="Arial" w:cs="Arial"/>
      <w:b/>
      <w:bCs/>
      <w:sz w:val="24"/>
      <w:szCs w:val="24"/>
    </w:rPr>
  </w:style>
  <w:style w:type="character" w:styleId="846" w:customStyle="1">
    <w:name w:val="标题 6 字符"/>
    <w:link w:val="747"/>
    <w:uiPriority w:val="9"/>
    <w:qFormat/>
    <w:rPr>
      <w:rFonts w:ascii="Arial" w:hAnsi="Arial" w:eastAsia="Arial" w:cs="Arial"/>
      <w:b/>
      <w:bCs/>
      <w:sz w:val="22"/>
      <w:szCs w:val="22"/>
    </w:rPr>
  </w:style>
  <w:style w:type="character" w:styleId="847" w:customStyle="1">
    <w:name w:val="标题 7 字符"/>
    <w:link w:val="748"/>
    <w:uiPriority w:val="9"/>
    <w:qFormat/>
    <w:rPr>
      <w:rFonts w:ascii="Arial" w:hAnsi="Arial" w:eastAsia="Arial" w:cs="Arial"/>
      <w:b/>
      <w:bCs/>
      <w:i/>
      <w:iCs/>
      <w:sz w:val="22"/>
      <w:szCs w:val="22"/>
    </w:rPr>
  </w:style>
  <w:style w:type="character" w:styleId="848" w:customStyle="1">
    <w:name w:val="标题 8 字符"/>
    <w:link w:val="749"/>
    <w:uiPriority w:val="9"/>
    <w:qFormat/>
    <w:rPr>
      <w:rFonts w:ascii="Arial" w:hAnsi="Arial" w:eastAsia="Arial" w:cs="Arial"/>
      <w:i/>
      <w:iCs/>
      <w:sz w:val="22"/>
      <w:szCs w:val="22"/>
    </w:rPr>
  </w:style>
  <w:style w:type="character" w:styleId="849" w:customStyle="1">
    <w:name w:val="标题 9 字符"/>
    <w:link w:val="750"/>
    <w:uiPriority w:val="9"/>
    <w:qFormat/>
    <w:rPr>
      <w:rFonts w:ascii="Arial" w:hAnsi="Arial" w:eastAsia="Arial" w:cs="Arial"/>
      <w:i/>
      <w:iCs/>
      <w:sz w:val="21"/>
      <w:szCs w:val="21"/>
    </w:rPr>
  </w:style>
  <w:style w:type="character" w:styleId="850" w:customStyle="1">
    <w:name w:val="标题 字符"/>
    <w:link w:val="781"/>
    <w:uiPriority w:val="10"/>
    <w:qFormat/>
    <w:rPr>
      <w:sz w:val="48"/>
      <w:szCs w:val="48"/>
    </w:rPr>
  </w:style>
  <w:style w:type="character" w:styleId="851" w:customStyle="1">
    <w:name w:val="副标题 字符"/>
    <w:link w:val="773"/>
    <w:uiPriority w:val="11"/>
    <w:qFormat/>
    <w:rPr>
      <w:sz w:val="24"/>
      <w:szCs w:val="24"/>
    </w:rPr>
  </w:style>
  <w:style w:type="character" w:styleId="852" w:customStyle="1">
    <w:name w:val="Quote Char_ab865706-b597-4fa0-a434-3c1619337419"/>
    <w:uiPriority w:val="29"/>
    <w:qFormat/>
    <w:rPr>
      <w:i/>
    </w:rPr>
  </w:style>
  <w:style w:type="character" w:styleId="853" w:customStyle="1">
    <w:name w:val="Intense Quote Char_de91a233-a60b-45a7-a1e0-8e140440cb60"/>
    <w:uiPriority w:val="30"/>
    <w:qFormat/>
    <w:rPr>
      <w:i/>
    </w:rPr>
  </w:style>
  <w:style w:type="character" w:styleId="854" w:customStyle="1">
    <w:name w:val="尾注文本 字符"/>
    <w:link w:val="767"/>
    <w:uiPriority w:val="99"/>
    <w:qFormat/>
    <w:rPr>
      <w:sz w:val="20"/>
    </w:rPr>
  </w:style>
  <w:style w:type="paragraph" w:styleId="855" w:customStyle="1">
    <w:name w:val="TOC 标题111"/>
    <w:uiPriority w:val="39"/>
    <w:qFormat/>
    <w:rPr>
      <w:rFonts w:hint="default" w:ascii="Calibri" w:hAnsi="Calibri" w:eastAsia="宋体" w:cs="Times New Roman"/>
      <w:lang w:val="en-US" w:eastAsia="zh-CN" w:bidi="ar-SA"/>
    </w:rPr>
  </w:style>
  <w:style w:type="paragraph" w:styleId="856" w:customStyle="1">
    <w:name w:val="标题 11"/>
    <w:basedOn w:val="741"/>
    <w:next w:val="741"/>
    <w:link w:val="873"/>
    <w:uiPriority w:val="0"/>
    <w:qFormat/>
    <w:pPr>
      <w:jc w:val="center"/>
      <w:keepLines/>
      <w:keepNext/>
      <w:spacing w:line="578" w:lineRule="auto"/>
      <w:outlineLvl w:val="0"/>
    </w:pPr>
    <w:rPr>
      <w:rFonts w:eastAsia="新宋体"/>
      <w:b/>
      <w:bCs/>
      <w:sz w:val="30"/>
      <w:szCs w:val="44"/>
    </w:rPr>
  </w:style>
  <w:style w:type="paragraph" w:styleId="857" w:customStyle="1">
    <w:name w:val="标题 21"/>
    <w:basedOn w:val="858"/>
    <w:next w:val="754"/>
    <w:link w:val="905"/>
    <w:uiPriority w:val="9"/>
    <w:qFormat/>
    <w:pPr>
      <w:keepLines/>
      <w:keepNext/>
      <w:spacing w:before="260" w:after="260" w:line="416" w:lineRule="auto"/>
      <w:outlineLvl w:val="1"/>
    </w:pPr>
    <w:rPr>
      <w:rFonts w:ascii="Calibri Light" w:hAnsi="Calibri Light" w:eastAsia="黑体"/>
      <w:b/>
      <w:bCs/>
      <w:sz w:val="32"/>
      <w:szCs w:val="32"/>
    </w:rPr>
  </w:style>
  <w:style w:type="paragraph" w:styleId="858" w:customStyle="1">
    <w:name w:val="正文111"/>
    <w:next w:val="859"/>
    <w:uiPriority w:val="0"/>
    <w:qFormat/>
    <w:pPr>
      <w:jc w:val="both"/>
      <w:widowControl w:val="off"/>
    </w:pPr>
    <w:rPr>
      <w:rFonts w:hint="default" w:ascii="Calibri" w:hAnsi="Calibri" w:eastAsia="宋体" w:cs="Calibri"/>
      <w:color w:val="000000"/>
      <w:sz w:val="22"/>
      <w:szCs w:val="22"/>
      <w:lang w:val="en-US" w:eastAsia="zh-CN" w:bidi="ar-SA"/>
    </w:rPr>
  </w:style>
  <w:style w:type="paragraph" w:styleId="859" w:customStyle="1">
    <w:name w:val="目录 111"/>
    <w:basedOn w:val="754"/>
    <w:next w:val="741"/>
    <w:uiPriority w:val="39"/>
    <w:qFormat/>
  </w:style>
  <w:style w:type="paragraph" w:styleId="860" w:customStyle="1">
    <w:name w:val="标题 31"/>
    <w:basedOn w:val="741"/>
    <w:next w:val="741"/>
    <w:link w:val="876"/>
    <w:uiPriority w:val="9"/>
    <w:qFormat/>
    <w:pPr>
      <w:keepLines/>
      <w:keepNext/>
      <w:spacing w:before="260" w:after="260" w:line="416" w:lineRule="auto"/>
      <w:outlineLvl w:val="2"/>
    </w:pPr>
    <w:rPr>
      <w:b/>
      <w:bCs/>
      <w:sz w:val="32"/>
      <w:szCs w:val="32"/>
    </w:rPr>
  </w:style>
  <w:style w:type="paragraph" w:styleId="861" w:customStyle="1">
    <w:name w:val="标题 41"/>
    <w:basedOn w:val="741"/>
    <w:next w:val="741"/>
    <w:link w:val="902"/>
    <w:uiPriority w:val="9"/>
    <w:qFormat/>
    <w:pPr>
      <w:keepLines/>
      <w:keepNext/>
      <w:spacing w:before="320" w:after="200"/>
      <w:outlineLvl w:val="3"/>
    </w:pPr>
    <w:rPr>
      <w:rFonts w:ascii="Arial" w:hAnsi="Arial" w:eastAsia="Arial" w:cs="Arial"/>
      <w:b/>
      <w:bCs/>
      <w:sz w:val="26"/>
      <w:szCs w:val="26"/>
    </w:rPr>
  </w:style>
  <w:style w:type="paragraph" w:styleId="862" w:customStyle="1">
    <w:name w:val="标题 51"/>
    <w:basedOn w:val="741"/>
    <w:next w:val="741"/>
    <w:link w:val="879"/>
    <w:uiPriority w:val="9"/>
    <w:qFormat/>
    <w:pPr>
      <w:keepLines/>
      <w:keepNext/>
      <w:spacing w:before="320" w:after="200"/>
      <w:outlineLvl w:val="4"/>
    </w:pPr>
    <w:rPr>
      <w:rFonts w:ascii="Arial" w:hAnsi="Arial" w:eastAsia="Arial" w:cs="Arial"/>
      <w:b/>
      <w:bCs/>
      <w:sz w:val="24"/>
    </w:rPr>
  </w:style>
  <w:style w:type="paragraph" w:styleId="863" w:customStyle="1">
    <w:name w:val="标题 61"/>
    <w:basedOn w:val="741"/>
    <w:next w:val="741"/>
    <w:link w:val="901"/>
    <w:uiPriority w:val="9"/>
    <w:qFormat/>
    <w:pPr>
      <w:keepLines/>
      <w:keepNext/>
      <w:spacing w:before="320" w:after="200"/>
      <w:outlineLvl w:val="5"/>
    </w:pPr>
    <w:rPr>
      <w:rFonts w:ascii="Arial" w:hAnsi="Arial" w:eastAsia="Arial" w:cs="Arial"/>
      <w:b/>
      <w:bCs/>
      <w:sz w:val="22"/>
      <w:szCs w:val="22"/>
    </w:rPr>
  </w:style>
  <w:style w:type="paragraph" w:styleId="864" w:customStyle="1">
    <w:name w:val="标题 71"/>
    <w:basedOn w:val="741"/>
    <w:next w:val="741"/>
    <w:link w:val="894"/>
    <w:uiPriority w:val="9"/>
    <w:qFormat/>
    <w:pPr>
      <w:keepLines/>
      <w:keepNext/>
      <w:spacing w:before="320" w:after="200"/>
      <w:outlineLvl w:val="6"/>
    </w:pPr>
    <w:rPr>
      <w:rFonts w:ascii="Arial" w:hAnsi="Arial" w:eastAsia="Arial" w:cs="Arial"/>
      <w:b/>
      <w:bCs/>
      <w:i/>
      <w:iCs/>
      <w:sz w:val="22"/>
      <w:szCs w:val="22"/>
    </w:rPr>
  </w:style>
  <w:style w:type="paragraph" w:styleId="865" w:customStyle="1">
    <w:name w:val="标题 81"/>
    <w:basedOn w:val="741"/>
    <w:next w:val="741"/>
    <w:link w:val="911"/>
    <w:uiPriority w:val="9"/>
    <w:qFormat/>
    <w:pPr>
      <w:keepLines/>
      <w:keepNext/>
      <w:spacing w:before="320" w:after="200"/>
      <w:outlineLvl w:val="7"/>
    </w:pPr>
    <w:rPr>
      <w:rFonts w:ascii="Arial" w:hAnsi="Arial" w:eastAsia="Arial" w:cs="Arial"/>
      <w:i/>
      <w:iCs/>
      <w:sz w:val="22"/>
      <w:szCs w:val="22"/>
    </w:rPr>
  </w:style>
  <w:style w:type="paragraph" w:styleId="866" w:customStyle="1">
    <w:name w:val="标题 91"/>
    <w:basedOn w:val="741"/>
    <w:next w:val="741"/>
    <w:link w:val="891"/>
    <w:uiPriority w:val="9"/>
    <w:qFormat/>
    <w:pPr>
      <w:keepLines/>
      <w:keepNext/>
      <w:spacing w:before="320" w:after="200"/>
      <w:outlineLvl w:val="8"/>
    </w:pPr>
    <w:rPr>
      <w:rFonts w:ascii="Arial" w:hAnsi="Arial" w:eastAsia="Arial" w:cs="Arial"/>
      <w:i/>
      <w:iCs/>
      <w:szCs w:val="21"/>
    </w:rPr>
  </w:style>
  <w:style w:type="character" w:styleId="867" w:customStyle="1">
    <w:name w:val="默认段落字体1"/>
    <w:uiPriority w:val="1"/>
    <w:qFormat/>
  </w:style>
  <w:style w:type="character" w:styleId="868" w:customStyle="1">
    <w:name w:val="页码1"/>
    <w:basedOn w:val="867"/>
    <w:uiPriority w:val="0"/>
    <w:qFormat/>
  </w:style>
  <w:style w:type="character" w:styleId="869" w:customStyle="1">
    <w:name w:val="脚注引用1"/>
    <w:basedOn w:val="867"/>
    <w:uiPriority w:val="99"/>
    <w:qFormat/>
    <w:rPr>
      <w:vertAlign w:val="superscript"/>
    </w:rPr>
  </w:style>
  <w:style w:type="character" w:styleId="870" w:customStyle="1">
    <w:name w:val="超链接1"/>
    <w:basedOn w:val="867"/>
    <w:uiPriority w:val="99"/>
    <w:qFormat/>
    <w:rPr>
      <w:color w:val="0000ff"/>
      <w:u w:val="single"/>
    </w:rPr>
  </w:style>
  <w:style w:type="character" w:styleId="871" w:customStyle="1">
    <w:name w:val="批注引用1"/>
    <w:basedOn w:val="867"/>
    <w:uiPriority w:val="0"/>
    <w:qFormat/>
    <w:rPr>
      <w:sz w:val="21"/>
      <w:szCs w:val="21"/>
    </w:rPr>
  </w:style>
  <w:style w:type="character" w:styleId="872" w:customStyle="1">
    <w:name w:val="尾注引用1"/>
    <w:basedOn w:val="867"/>
    <w:uiPriority w:val="99"/>
    <w:qFormat/>
    <w:rPr>
      <w:vertAlign w:val="superscript"/>
    </w:rPr>
  </w:style>
  <w:style w:type="character" w:styleId="873" w:customStyle="1">
    <w:name w:val="标题 1 Char"/>
    <w:basedOn w:val="867"/>
    <w:link w:val="856"/>
    <w:uiPriority w:val="0"/>
    <w:qFormat/>
    <w:rPr>
      <w:rFonts w:ascii="Times New Roman" w:hAnsi="Times New Roman" w:eastAsia="新宋体" w:cs="Times New Roman"/>
      <w:b/>
      <w:bCs/>
      <w:sz w:val="30"/>
      <w:szCs w:val="44"/>
    </w:rPr>
  </w:style>
  <w:style w:type="character" w:styleId="874" w:customStyle="1">
    <w:name w:val="批注文字 Char"/>
    <w:basedOn w:val="867"/>
    <w:link w:val="875"/>
    <w:uiPriority w:val="0"/>
    <w:qFormat/>
    <w:rPr>
      <w:rFonts w:ascii="Times New Roman" w:hAnsi="Times New Roman" w:eastAsia="宋体" w:cs="Times New Roman"/>
      <w:sz w:val="21"/>
      <w:szCs w:val="24"/>
    </w:rPr>
  </w:style>
  <w:style w:type="paragraph" w:styleId="875" w:customStyle="1">
    <w:name w:val="批注文字1"/>
    <w:basedOn w:val="741"/>
    <w:link w:val="874"/>
    <w:uiPriority w:val="0"/>
    <w:qFormat/>
    <w:pPr>
      <w:jc w:val="left"/>
    </w:pPr>
  </w:style>
  <w:style w:type="character" w:styleId="876" w:customStyle="1">
    <w:name w:val="标题 3 Char"/>
    <w:basedOn w:val="867"/>
    <w:link w:val="860"/>
    <w:uiPriority w:val="9"/>
    <w:qFormat/>
    <w:rPr>
      <w:rFonts w:ascii="Times New Roman" w:hAnsi="Times New Roman" w:eastAsia="宋体" w:cs="Times New Roman"/>
      <w:b/>
      <w:bCs/>
      <w:sz w:val="32"/>
      <w:szCs w:val="32"/>
    </w:rPr>
  </w:style>
  <w:style w:type="character" w:styleId="877" w:customStyle="1">
    <w:name w:val="Footnote Text Char"/>
    <w:uiPriority w:val="99"/>
    <w:qFormat/>
    <w:rPr>
      <w:sz w:val="18"/>
    </w:rPr>
  </w:style>
  <w:style w:type="character" w:styleId="878" w:customStyle="1">
    <w:name w:val="Footer Char_11b5ceac-c139-4a65-b428-f32c8499a821"/>
    <w:basedOn w:val="867"/>
    <w:uiPriority w:val="99"/>
    <w:qFormat/>
  </w:style>
  <w:style w:type="character" w:styleId="879" w:customStyle="1">
    <w:name w:val="标题 5 Char"/>
    <w:basedOn w:val="867"/>
    <w:link w:val="862"/>
    <w:uiPriority w:val="9"/>
    <w:qFormat/>
    <w:rPr>
      <w:rFonts w:ascii="Arial" w:hAnsi="Arial" w:eastAsia="Arial" w:cs="Arial"/>
      <w:b/>
      <w:bCs/>
      <w:sz w:val="24"/>
      <w:szCs w:val="24"/>
    </w:rPr>
  </w:style>
  <w:style w:type="character" w:styleId="880" w:customStyle="1">
    <w:name w:val="Heading 3 Char_2c61b7ed-acf9-4d87-950f-2f628742778f"/>
    <w:basedOn w:val="867"/>
    <w:uiPriority w:val="9"/>
    <w:qFormat/>
    <w:rPr>
      <w:rFonts w:ascii="Arial" w:hAnsi="Arial" w:eastAsia="Arial" w:cs="Arial"/>
      <w:sz w:val="30"/>
      <w:szCs w:val="30"/>
    </w:rPr>
  </w:style>
  <w:style w:type="character" w:styleId="881" w:customStyle="1">
    <w:name w:val="font01"/>
    <w:basedOn w:val="867"/>
    <w:uiPriority w:val="0"/>
    <w:qFormat/>
    <w:rPr>
      <w:rFonts w:hint="eastAsia" w:ascii="微软雅黑" w:hAnsi="微软雅黑" w:eastAsia="微软雅黑" w:cs="微软雅黑"/>
      <w:color w:val="000000"/>
      <w:sz w:val="16"/>
      <w:szCs w:val="16"/>
      <w:u w:val="none"/>
    </w:rPr>
  </w:style>
  <w:style w:type="character" w:styleId="882" w:customStyle="1">
    <w:name w:val="标题 Char"/>
    <w:basedOn w:val="867"/>
    <w:link w:val="883"/>
    <w:uiPriority w:val="10"/>
    <w:qFormat/>
    <w:rPr>
      <w:sz w:val="48"/>
      <w:szCs w:val="48"/>
    </w:rPr>
  </w:style>
  <w:style w:type="paragraph" w:styleId="883" w:customStyle="1">
    <w:name w:val="标题1"/>
    <w:basedOn w:val="741"/>
    <w:next w:val="741"/>
    <w:link w:val="882"/>
    <w:uiPriority w:val="10"/>
    <w:qFormat/>
    <w:pPr>
      <w:contextualSpacing/>
      <w:spacing w:before="300" w:after="200"/>
    </w:pPr>
    <w:rPr>
      <w:sz w:val="48"/>
      <w:szCs w:val="48"/>
    </w:rPr>
  </w:style>
  <w:style w:type="character" w:styleId="884" w:customStyle="1">
    <w:name w:val="NormalCharacter1"/>
    <w:uiPriority w:val="0"/>
    <w:qFormat/>
    <w:rPr>
      <w:rFonts w:ascii="Times New Roman" w:hAnsi="Times New Roman" w:eastAsia="宋体" w:cs="Times New Roman"/>
      <w:sz w:val="21"/>
      <w:szCs w:val="24"/>
      <w:lang w:val="en-US" w:eastAsia="zh-CN" w:bidi="ar-SA"/>
    </w:rPr>
  </w:style>
  <w:style w:type="character" w:styleId="885" w:customStyle="1">
    <w:name w:val="UserStyle_12"/>
    <w:link w:val="886"/>
    <w:uiPriority w:val="0"/>
    <w:qFormat/>
    <w:rPr>
      <w:rFonts w:ascii="Times New Roman" w:hAnsi="Times New Roman" w:eastAsia="宋体"/>
      <w:sz w:val="21"/>
      <w:szCs w:val="24"/>
    </w:rPr>
  </w:style>
  <w:style w:type="paragraph" w:styleId="886" w:customStyle="1">
    <w:name w:val="AnnotationText1"/>
    <w:basedOn w:val="741"/>
    <w:link w:val="885"/>
    <w:uiPriority w:val="0"/>
    <w:qFormat/>
    <w:pPr>
      <w:jc w:val="left"/>
      <w:widowControl/>
    </w:pPr>
  </w:style>
  <w:style w:type="character" w:styleId="887" w:customStyle="1">
    <w:name w:val="font21"/>
    <w:basedOn w:val="867"/>
    <w:uiPriority w:val="0"/>
    <w:qFormat/>
    <w:rPr>
      <w:rFonts w:hint="eastAsia" w:ascii="宋体" w:hAnsi="宋体" w:eastAsia="宋体" w:cs="宋体"/>
      <w:b/>
      <w:bCs/>
      <w:color w:val="000000"/>
      <w:sz w:val="28"/>
      <w:szCs w:val="28"/>
      <w:u w:val="none"/>
    </w:rPr>
  </w:style>
  <w:style w:type="character" w:styleId="888" w:customStyle="1">
    <w:name w:val="页脚 Char"/>
    <w:basedOn w:val="867"/>
    <w:link w:val="889"/>
    <w:uiPriority w:val="99"/>
    <w:qFormat/>
    <w:rPr>
      <w:rFonts w:ascii="Times New Roman" w:hAnsi="Times New Roman" w:eastAsia="宋体" w:cs="Times New Roman"/>
      <w:sz w:val="18"/>
      <w:szCs w:val="18"/>
    </w:rPr>
  </w:style>
  <w:style w:type="paragraph" w:styleId="889" w:customStyle="1">
    <w:name w:val="页脚1"/>
    <w:basedOn w:val="741"/>
    <w:link w:val="888"/>
    <w:uiPriority w:val="99"/>
    <w:qFormat/>
    <w:pPr>
      <w:jc w:val="left"/>
      <w:tabs>
        <w:tab w:val="center" w:pos="4153" w:leader="none"/>
        <w:tab w:val="right" w:pos="8306" w:leader="none"/>
      </w:tabs>
    </w:pPr>
    <w:rPr>
      <w:sz w:val="18"/>
      <w:szCs w:val="18"/>
    </w:rPr>
  </w:style>
  <w:style w:type="character" w:styleId="890" w:customStyle="1">
    <w:name w:val="Heading 1 Char_ffb5a857-d37e-4a25-ac09-f43de2492987"/>
    <w:basedOn w:val="867"/>
    <w:uiPriority w:val="9"/>
    <w:qFormat/>
    <w:rPr>
      <w:rFonts w:ascii="Arial" w:hAnsi="Arial" w:eastAsia="Arial" w:cs="Arial"/>
      <w:sz w:val="40"/>
      <w:szCs w:val="40"/>
    </w:rPr>
  </w:style>
  <w:style w:type="character" w:styleId="891" w:customStyle="1">
    <w:name w:val="标题 9 Char"/>
    <w:basedOn w:val="867"/>
    <w:link w:val="866"/>
    <w:uiPriority w:val="9"/>
    <w:qFormat/>
    <w:rPr>
      <w:rFonts w:ascii="Arial" w:hAnsi="Arial" w:eastAsia="Arial" w:cs="Arial"/>
      <w:i/>
      <w:iCs/>
      <w:sz w:val="21"/>
      <w:szCs w:val="21"/>
    </w:rPr>
  </w:style>
  <w:style w:type="character" w:styleId="892" w:customStyle="1">
    <w:name w:val="批注框文本 Char"/>
    <w:basedOn w:val="867"/>
    <w:link w:val="893"/>
    <w:uiPriority w:val="0"/>
    <w:qFormat/>
    <w:rPr>
      <w:rFonts w:ascii="Times New Roman" w:hAnsi="Times New Roman" w:eastAsia="宋体" w:cs="Times New Roman"/>
      <w:sz w:val="18"/>
      <w:szCs w:val="18"/>
    </w:rPr>
  </w:style>
  <w:style w:type="paragraph" w:styleId="893" w:customStyle="1">
    <w:name w:val="批注框文本1"/>
    <w:basedOn w:val="741"/>
    <w:link w:val="892"/>
    <w:uiPriority w:val="0"/>
    <w:qFormat/>
    <w:rPr>
      <w:sz w:val="18"/>
      <w:szCs w:val="18"/>
    </w:rPr>
  </w:style>
  <w:style w:type="character" w:styleId="894" w:customStyle="1">
    <w:name w:val="标题 7 Char"/>
    <w:basedOn w:val="867"/>
    <w:link w:val="864"/>
    <w:uiPriority w:val="9"/>
    <w:qFormat/>
    <w:rPr>
      <w:rFonts w:ascii="Arial" w:hAnsi="Arial" w:eastAsia="Arial" w:cs="Arial"/>
      <w:b/>
      <w:bCs/>
      <w:i/>
      <w:iCs/>
      <w:sz w:val="22"/>
      <w:szCs w:val="22"/>
    </w:rPr>
  </w:style>
  <w:style w:type="character" w:styleId="895" w:customStyle="1">
    <w:name w:val="Header Char_fc3e5863-165d-497b-80a9-dce7f982e9dd"/>
    <w:basedOn w:val="867"/>
    <w:uiPriority w:val="99"/>
    <w:qFormat/>
  </w:style>
  <w:style w:type="character" w:styleId="896" w:customStyle="1">
    <w:name w:val="批注主题 Char"/>
    <w:basedOn w:val="874"/>
    <w:link w:val="897"/>
    <w:uiPriority w:val="0"/>
    <w:qFormat/>
    <w:rPr>
      <w:rFonts w:ascii="Times New Roman" w:hAnsi="Times New Roman" w:eastAsia="宋体" w:cs="Times New Roman"/>
      <w:b/>
      <w:bCs/>
      <w:sz w:val="21"/>
      <w:szCs w:val="24"/>
    </w:rPr>
  </w:style>
  <w:style w:type="paragraph" w:styleId="897" w:customStyle="1">
    <w:name w:val="批注主题1"/>
    <w:basedOn w:val="875"/>
    <w:next w:val="875"/>
    <w:link w:val="896"/>
    <w:uiPriority w:val="0"/>
    <w:qFormat/>
    <w:rPr>
      <w:b/>
      <w:bCs/>
    </w:rPr>
  </w:style>
  <w:style w:type="character" w:styleId="898" w:customStyle="1">
    <w:name w:val="font51"/>
    <w:basedOn w:val="751"/>
    <w:uiPriority w:val="0"/>
    <w:qFormat/>
    <w:rPr>
      <w:rFonts w:hint="eastAsia" w:ascii="微软雅黑" w:hAnsi="微软雅黑" w:eastAsia="微软雅黑" w:cs="微软雅黑"/>
      <w:color w:val="000000"/>
      <w:sz w:val="16"/>
      <w:szCs w:val="16"/>
      <w:u w:val="none"/>
    </w:rPr>
  </w:style>
  <w:style w:type="character" w:styleId="899" w:customStyle="1">
    <w:name w:val="尾注文本 Char"/>
    <w:link w:val="900"/>
    <w:uiPriority w:val="99"/>
    <w:qFormat/>
    <w:rPr>
      <w:sz w:val="20"/>
    </w:rPr>
  </w:style>
  <w:style w:type="paragraph" w:styleId="900" w:customStyle="1">
    <w:name w:val="尾注文本1"/>
    <w:basedOn w:val="741"/>
    <w:link w:val="899"/>
    <w:uiPriority w:val="99"/>
    <w:qFormat/>
    <w:rPr>
      <w:sz w:val="20"/>
    </w:rPr>
  </w:style>
  <w:style w:type="character" w:styleId="901" w:customStyle="1">
    <w:name w:val="标题 6 Char"/>
    <w:basedOn w:val="867"/>
    <w:link w:val="863"/>
    <w:uiPriority w:val="9"/>
    <w:qFormat/>
    <w:rPr>
      <w:rFonts w:ascii="Arial" w:hAnsi="Arial" w:eastAsia="Arial" w:cs="Arial"/>
      <w:b/>
      <w:bCs/>
      <w:sz w:val="22"/>
      <w:szCs w:val="22"/>
    </w:rPr>
  </w:style>
  <w:style w:type="character" w:styleId="902" w:customStyle="1">
    <w:name w:val="标题 4 Char"/>
    <w:basedOn w:val="867"/>
    <w:link w:val="861"/>
    <w:uiPriority w:val="9"/>
    <w:qFormat/>
    <w:rPr>
      <w:rFonts w:ascii="Arial" w:hAnsi="Arial" w:eastAsia="Arial" w:cs="Arial"/>
      <w:b/>
      <w:bCs/>
      <w:sz w:val="26"/>
      <w:szCs w:val="26"/>
    </w:rPr>
  </w:style>
  <w:style w:type="character" w:styleId="903" w:customStyle="1">
    <w:name w:val="Caption Char"/>
    <w:uiPriority w:val="99"/>
    <w:qFormat/>
  </w:style>
  <w:style w:type="character" w:styleId="904" w:customStyle="1">
    <w:name w:val="font31"/>
    <w:basedOn w:val="867"/>
    <w:uiPriority w:val="0"/>
    <w:qFormat/>
    <w:rPr>
      <w:rFonts w:hint="eastAsia" w:ascii="微软雅黑" w:hAnsi="微软雅黑" w:eastAsia="微软雅黑" w:cs="微软雅黑"/>
      <w:color w:val="000000"/>
      <w:sz w:val="16"/>
      <w:szCs w:val="16"/>
      <w:u w:val="none"/>
    </w:rPr>
  </w:style>
  <w:style w:type="character" w:styleId="905" w:customStyle="1">
    <w:name w:val="标题 2 Char"/>
    <w:basedOn w:val="867"/>
    <w:link w:val="857"/>
    <w:uiPriority w:val="9"/>
    <w:qFormat/>
    <w:rPr>
      <w:rFonts w:ascii="Calibri Light" w:hAnsi="Calibri Light" w:eastAsia="黑体" w:cs="Times New Roman"/>
      <w:b/>
      <w:bCs/>
      <w:sz w:val="32"/>
      <w:szCs w:val="32"/>
    </w:rPr>
  </w:style>
  <w:style w:type="character" w:styleId="906" w:customStyle="1">
    <w:name w:val="正文文本 Char"/>
    <w:basedOn w:val="867"/>
    <w:link w:val="907"/>
    <w:uiPriority w:val="99"/>
    <w:qFormat/>
    <w:rPr>
      <w:rFonts w:ascii="Calibri" w:hAnsi="Calibri" w:eastAsia="宋体" w:cs="Times New Roman"/>
      <w:sz w:val="21"/>
      <w:szCs w:val="24"/>
    </w:rPr>
  </w:style>
  <w:style w:type="paragraph" w:styleId="907" w:customStyle="1">
    <w:name w:val="正文文本11"/>
    <w:basedOn w:val="741"/>
    <w:next w:val="741"/>
    <w:link w:val="906"/>
    <w:uiPriority w:val="99"/>
    <w:qFormat/>
    <w:pPr>
      <w:spacing w:after="120"/>
    </w:pPr>
    <w:rPr>
      <w:rFonts w:ascii="Calibri" w:hAnsi="Calibri"/>
    </w:rPr>
  </w:style>
  <w:style w:type="character" w:styleId="908" w:customStyle="1">
    <w:name w:val="页眉 Char"/>
    <w:basedOn w:val="867"/>
    <w:link w:val="909"/>
    <w:uiPriority w:val="99"/>
    <w:qFormat/>
    <w:rPr>
      <w:rFonts w:ascii="Times New Roman" w:hAnsi="Times New Roman" w:eastAsia="宋体" w:cs="Times New Roman"/>
      <w:sz w:val="18"/>
      <w:szCs w:val="18"/>
    </w:rPr>
  </w:style>
  <w:style w:type="paragraph" w:styleId="909" w:customStyle="1">
    <w:name w:val="页眉1"/>
    <w:basedOn w:val="741"/>
    <w:link w:val="908"/>
    <w:uiPriority w:val="99"/>
    <w:qFormat/>
    <w:pPr>
      <w:jc w:val="center"/>
      <w:tabs>
        <w:tab w:val="center" w:pos="4153" w:leader="none"/>
        <w:tab w:val="right" w:pos="8306" w:leader="none"/>
      </w:tabs>
      <w:pBdr>
        <w:bottom w:val="single" w:color="000000" w:sz="6" w:space="1"/>
      </w:pBdr>
    </w:pPr>
    <w:rPr>
      <w:sz w:val="18"/>
      <w:szCs w:val="18"/>
    </w:rPr>
  </w:style>
  <w:style w:type="character" w:styleId="910" w:customStyle="1">
    <w:name w:val="Heading 2 Char_2ae23350-ad29-4433-a57d-c5d812f4721c"/>
    <w:basedOn w:val="867"/>
    <w:uiPriority w:val="9"/>
    <w:qFormat/>
    <w:rPr>
      <w:rFonts w:ascii="Arial" w:hAnsi="Arial" w:eastAsia="Arial" w:cs="Arial"/>
      <w:sz w:val="34"/>
    </w:rPr>
  </w:style>
  <w:style w:type="character" w:styleId="911" w:customStyle="1">
    <w:name w:val="标题 8 Char"/>
    <w:basedOn w:val="867"/>
    <w:link w:val="865"/>
    <w:uiPriority w:val="9"/>
    <w:qFormat/>
    <w:rPr>
      <w:rFonts w:ascii="Arial" w:hAnsi="Arial" w:eastAsia="Arial" w:cs="Arial"/>
      <w:i/>
      <w:iCs/>
      <w:sz w:val="22"/>
      <w:szCs w:val="22"/>
    </w:rPr>
  </w:style>
  <w:style w:type="character" w:styleId="912" w:customStyle="1">
    <w:name w:val="引用 字符"/>
    <w:link w:val="790"/>
    <w:uiPriority w:val="29"/>
    <w:qFormat/>
    <w:rPr>
      <w:i/>
    </w:rPr>
  </w:style>
  <w:style w:type="character" w:styleId="913" w:customStyle="1">
    <w:name w:val="副标题 Char"/>
    <w:basedOn w:val="867"/>
    <w:link w:val="914"/>
    <w:uiPriority w:val="11"/>
    <w:qFormat/>
    <w:rPr>
      <w:sz w:val="24"/>
      <w:szCs w:val="24"/>
    </w:rPr>
  </w:style>
  <w:style w:type="paragraph" w:styleId="914" w:customStyle="1">
    <w:name w:val="副标题1"/>
    <w:basedOn w:val="741"/>
    <w:next w:val="741"/>
    <w:link w:val="913"/>
    <w:uiPriority w:val="11"/>
    <w:qFormat/>
    <w:pPr>
      <w:spacing w:before="200" w:after="200"/>
    </w:pPr>
    <w:rPr>
      <w:sz w:val="24"/>
    </w:rPr>
  </w:style>
  <w:style w:type="character" w:styleId="915" w:customStyle="1">
    <w:name w:val="明显引用 字符"/>
    <w:link w:val="916"/>
    <w:uiPriority w:val="30"/>
    <w:qFormat/>
    <w:rPr>
      <w:i/>
    </w:rPr>
  </w:style>
  <w:style w:type="paragraph" w:styleId="916">
    <w:name w:val="Intense Quote"/>
    <w:basedOn w:val="741"/>
    <w:next w:val="741"/>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7" w:customStyle="1">
    <w:name w:val="索引 511"/>
    <w:basedOn w:val="741"/>
    <w:next w:val="741"/>
    <w:uiPriority w:val="0"/>
    <w:qFormat/>
    <w:pPr>
      <w:ind w:left="798"/>
      <w:jc w:val="left"/>
    </w:pPr>
    <w:rPr>
      <w:rFonts w:ascii="Calibri" w:hAnsi="Calibri"/>
    </w:rPr>
  </w:style>
  <w:style w:type="paragraph" w:styleId="918" w:customStyle="1">
    <w:name w:val="正文文本缩进11"/>
    <w:basedOn w:val="741"/>
    <w:uiPriority w:val="0"/>
    <w:qFormat/>
    <w:pPr>
      <w:ind w:left="420"/>
      <w:spacing w:after="120"/>
    </w:pPr>
    <w:rPr>
      <w:rFonts w:ascii="Calibri" w:hAnsi="Calibri"/>
    </w:rPr>
  </w:style>
  <w:style w:type="paragraph" w:styleId="919" w:customStyle="1">
    <w:name w:val="目录 71"/>
    <w:basedOn w:val="741"/>
    <w:next w:val="741"/>
    <w:uiPriority w:val="39"/>
    <w:qFormat/>
    <w:pPr>
      <w:ind w:left="1701"/>
      <w:spacing w:after="57"/>
    </w:pPr>
  </w:style>
  <w:style w:type="paragraph" w:styleId="920" w:customStyle="1">
    <w:name w:val="正文首行缩进1"/>
    <w:basedOn w:val="907"/>
    <w:next w:val="921"/>
    <w:uiPriority w:val="0"/>
    <w:qFormat/>
    <w:pPr>
      <w:ind w:firstLine="420"/>
    </w:pPr>
  </w:style>
  <w:style w:type="paragraph" w:styleId="921" w:customStyle="1">
    <w:name w:val="正文首行缩进 21"/>
    <w:basedOn w:val="918"/>
    <w:uiPriority w:val="0"/>
    <w:qFormat/>
    <w:pPr>
      <w:ind w:firstLine="420"/>
      <w:spacing w:line="360" w:lineRule="auto"/>
    </w:pPr>
    <w:rPr>
      <w:color w:val="000000"/>
      <w:sz w:val="20"/>
    </w:rPr>
  </w:style>
  <w:style w:type="paragraph" w:styleId="922" w:customStyle="1">
    <w:name w:val="目录 21"/>
    <w:basedOn w:val="741"/>
    <w:next w:val="741"/>
    <w:uiPriority w:val="39"/>
    <w:qFormat/>
    <w:pPr>
      <w:ind w:left="283"/>
      <w:spacing w:after="57"/>
    </w:pPr>
  </w:style>
  <w:style w:type="paragraph" w:styleId="923" w:customStyle="1">
    <w:name w:val="纯文本1"/>
    <w:basedOn w:val="741"/>
    <w:uiPriority w:val="0"/>
    <w:qFormat/>
    <w:rPr>
      <w:rFonts w:ascii="宋体" w:hAnsi="Courier New"/>
      <w:sz w:val="20"/>
      <w:szCs w:val="20"/>
    </w:rPr>
  </w:style>
  <w:style w:type="paragraph" w:styleId="924" w:customStyle="1">
    <w:name w:val="普通(网站)1"/>
    <w:basedOn w:val="741"/>
    <w:uiPriority w:val="0"/>
    <w:qFormat/>
    <w:pPr>
      <w:jc w:val="left"/>
      <w:spacing w:before="100" w:beforeAutospacing="1" w:after="100" w:afterAutospacing="1"/>
      <w:widowControl/>
    </w:pPr>
    <w:rPr>
      <w:rFonts w:ascii="宋体" w:hAnsi="宋体" w:cs="宋体"/>
      <w:sz w:val="24"/>
    </w:rPr>
  </w:style>
  <w:style w:type="paragraph" w:styleId="925" w:customStyle="1">
    <w:name w:val="目录 61"/>
    <w:basedOn w:val="741"/>
    <w:next w:val="741"/>
    <w:uiPriority w:val="39"/>
    <w:qFormat/>
    <w:pPr>
      <w:ind w:left="1417"/>
      <w:spacing w:after="57"/>
    </w:pPr>
  </w:style>
  <w:style w:type="paragraph" w:styleId="926" w:customStyle="1">
    <w:name w:val="目录 51"/>
    <w:basedOn w:val="741"/>
    <w:next w:val="741"/>
    <w:uiPriority w:val="39"/>
    <w:qFormat/>
    <w:pPr>
      <w:ind w:left="1134"/>
      <w:spacing w:after="57"/>
    </w:pPr>
  </w:style>
  <w:style w:type="paragraph" w:styleId="927" w:customStyle="1">
    <w:name w:val="题注1"/>
    <w:basedOn w:val="741"/>
    <w:next w:val="741"/>
    <w:uiPriority w:val="35"/>
    <w:qFormat/>
    <w:pPr>
      <w:spacing w:line="276" w:lineRule="auto"/>
    </w:pPr>
    <w:rPr>
      <w:b/>
      <w:bCs/>
      <w:color w:val="5b9bd5"/>
      <w:sz w:val="18"/>
      <w:szCs w:val="18"/>
    </w:rPr>
  </w:style>
  <w:style w:type="paragraph" w:styleId="928" w:customStyle="1">
    <w:name w:val="目录 41"/>
    <w:basedOn w:val="741"/>
    <w:next w:val="741"/>
    <w:uiPriority w:val="39"/>
    <w:qFormat/>
    <w:pPr>
      <w:ind w:left="850"/>
      <w:spacing w:after="57"/>
    </w:pPr>
  </w:style>
  <w:style w:type="paragraph" w:styleId="929" w:customStyle="1">
    <w:name w:val="文本块1"/>
    <w:basedOn w:val="741"/>
    <w:uiPriority w:val="99"/>
    <w:qFormat/>
    <w:pPr>
      <w:ind w:left="1440" w:right="1440"/>
      <w:spacing w:after="120"/>
    </w:pPr>
  </w:style>
  <w:style w:type="paragraph" w:styleId="930" w:customStyle="1">
    <w:name w:val="图表目录1"/>
    <w:basedOn w:val="741"/>
    <w:next w:val="741"/>
    <w:uiPriority w:val="99"/>
    <w:qFormat/>
  </w:style>
  <w:style w:type="paragraph" w:styleId="931" w:customStyle="1">
    <w:name w:val="日期1"/>
    <w:basedOn w:val="741"/>
    <w:next w:val="741"/>
    <w:uiPriority w:val="0"/>
    <w:qFormat/>
    <w:rPr>
      <w:rFonts w:eastAsia="仿宋_GB2312"/>
      <w:sz w:val="28"/>
      <w:szCs w:val="20"/>
    </w:rPr>
  </w:style>
  <w:style w:type="paragraph" w:styleId="932" w:customStyle="1">
    <w:name w:val="目录 31"/>
    <w:basedOn w:val="741"/>
    <w:next w:val="741"/>
    <w:uiPriority w:val="39"/>
    <w:qFormat/>
    <w:pPr>
      <w:ind w:left="567"/>
      <w:spacing w:after="57"/>
    </w:pPr>
  </w:style>
  <w:style w:type="paragraph" w:styleId="933" w:customStyle="1">
    <w:name w:val="目录 81"/>
    <w:basedOn w:val="741"/>
    <w:next w:val="741"/>
    <w:uiPriority w:val="39"/>
    <w:qFormat/>
    <w:pPr>
      <w:ind w:left="1984"/>
      <w:spacing w:after="57"/>
    </w:pPr>
  </w:style>
  <w:style w:type="paragraph" w:styleId="934" w:customStyle="1">
    <w:name w:val="目录 91"/>
    <w:basedOn w:val="741"/>
    <w:next w:val="741"/>
    <w:uiPriority w:val="39"/>
    <w:qFormat/>
    <w:pPr>
      <w:ind w:left="2268"/>
      <w:spacing w:after="57"/>
    </w:pPr>
  </w:style>
  <w:style w:type="paragraph" w:styleId="935" w:customStyle="1">
    <w:name w:val="脚注文本11"/>
    <w:basedOn w:val="741"/>
    <w:next w:val="917"/>
    <w:uiPriority w:val="0"/>
    <w:qFormat/>
    <w:pPr>
      <w:jc w:val="left"/>
    </w:pPr>
    <w:rPr>
      <w:rFonts w:ascii="宋体" w:eastAsia="Times New Roman"/>
      <w:sz w:val="18"/>
      <w:szCs w:val="18"/>
    </w:rPr>
  </w:style>
  <w:style w:type="paragraph" w:styleId="936" w:customStyle="1">
    <w:name w:val="EnvelopeReturn1"/>
    <w:basedOn w:val="741"/>
    <w:uiPriority w:val="0"/>
    <w:qFormat/>
    <w:rPr>
      <w:rFonts w:ascii="Arial" w:hAnsi="Arial"/>
    </w:rPr>
  </w:style>
  <w:style w:type="paragraph" w:styleId="937"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938">
    <w:name w:val="No Spacing"/>
    <w:uiPriority w:val="1"/>
    <w:qFormat/>
    <w:rPr>
      <w:rFonts w:hint="default" w:ascii="Times New Roman" w:hAnsi="Times New Roman" w:eastAsia="宋体" w:cs="Times New Roman"/>
      <w:lang w:val="en-US" w:eastAsia="zh-CN" w:bidi="ar-SA"/>
    </w:rPr>
  </w:style>
  <w:style w:type="paragraph" w:styleId="939" w:customStyle="1">
    <w:name w:val="标题 5（有编号）（绿盟科技）"/>
    <w:basedOn w:val="741"/>
    <w:next w:val="937"/>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40" w:customStyle="1">
    <w:name w:val="正文1"/>
    <w:basedOn w:val="858"/>
    <w:next w:val="753"/>
    <w:uiPriority w:val="0"/>
    <w:qFormat/>
    <w:pPr>
      <w:jc w:val="left"/>
      <w:spacing w:line="360" w:lineRule="atLeast"/>
    </w:pPr>
    <w:rPr>
      <w:rFonts w:ascii="宋体" w:hAnsi="Calibri"/>
      <w:sz w:val="24"/>
      <w:szCs w:val="20"/>
    </w:rPr>
  </w:style>
  <w:style w:type="paragraph" w:styleId="941" w:customStyle="1">
    <w:name w:val="正文文本1"/>
    <w:basedOn w:val="940"/>
    <w:next w:val="940"/>
    <w:uiPriority w:val="0"/>
    <w:qFormat/>
    <w:pPr>
      <w:spacing w:after="120"/>
    </w:pPr>
    <w:rPr>
      <w:lang w:eastAsia="en-US"/>
    </w:rPr>
  </w:style>
  <w:style w:type="paragraph" w:styleId="942" w:customStyle="1">
    <w:name w:val="一级条标题"/>
    <w:basedOn w:val="943"/>
    <w:next w:val="9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3" w:customStyle="1">
    <w:name w:val="章标题"/>
    <w:next w:val="94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4" w:customStyle="1">
    <w:name w:val="段"/>
    <w:basedOn w:val="945"/>
    <w:next w:val="741"/>
    <w:uiPriority w:val="0"/>
    <w:qFormat/>
    <w:pPr>
      <w:ind w:firstLine="200"/>
      <w:widowControl/>
    </w:pPr>
    <w:rPr>
      <w:sz w:val="20"/>
    </w:rPr>
  </w:style>
  <w:style w:type="paragraph" w:styleId="945" w:customStyle="1">
    <w:name w:val="正文13"/>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脚注文本1"/>
    <w:basedOn w:val="940"/>
    <w:next w:val="947"/>
    <w:uiPriority w:val="0"/>
    <w:qFormat/>
    <w:rPr>
      <w:rFonts w:eastAsia="Times New Roman"/>
      <w:sz w:val="18"/>
      <w:szCs w:val="18"/>
    </w:rPr>
  </w:style>
  <w:style w:type="paragraph" w:styleId="947" w:customStyle="1">
    <w:name w:val="索引 51"/>
    <w:basedOn w:val="940"/>
    <w:next w:val="940"/>
    <w:uiPriority w:val="0"/>
    <w:qFormat/>
    <w:pPr>
      <w:ind w:left="798"/>
    </w:pPr>
    <w:rPr>
      <w:rFonts w:ascii="Calibri"/>
    </w:rPr>
  </w:style>
  <w:style w:type="paragraph" w:styleId="948"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949" w:customStyle="1">
    <w:name w:val="标准"/>
    <w:basedOn w:val="741"/>
    <w:uiPriority w:val="0"/>
    <w:qFormat/>
    <w:pPr>
      <w:ind w:firstLine="200"/>
      <w:spacing w:line="360" w:lineRule="auto"/>
    </w:pPr>
    <w:rPr>
      <w:rFonts w:cs="宋体"/>
      <w:sz w:val="20"/>
      <w:szCs w:val="20"/>
    </w:rPr>
  </w:style>
  <w:style w:type="paragraph" w:styleId="950" w:customStyle="1">
    <w:name w:val="列出段落1"/>
    <w:basedOn w:val="741"/>
    <w:uiPriority w:val="34"/>
    <w:qFormat/>
    <w:pPr>
      <w:ind w:left="480"/>
      <w:jc w:val="left"/>
    </w:pPr>
    <w:rPr>
      <w:rFonts w:ascii="Calibri" w:hAnsi="Calibri" w:eastAsia="PMingLiU"/>
      <w:sz w:val="24"/>
      <w:szCs w:val="20"/>
      <w:lang w:eastAsia="zh-TW"/>
    </w:rPr>
  </w:style>
  <w:style w:type="paragraph" w:styleId="951" w:customStyle="1">
    <w:name w:val="Table Paragraph"/>
    <w:basedOn w:val="741"/>
    <w:uiPriority w:val="1"/>
    <w:qFormat/>
    <w:pPr>
      <w:ind w:left="107"/>
    </w:pPr>
    <w:rPr>
      <w:rFonts w:ascii="宋体" w:hAnsi="宋体" w:cs="宋体"/>
    </w:rPr>
  </w:style>
  <w:style w:type="paragraph" w:styleId="952"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53" w:customStyle="1">
    <w:name w:val="_Style 11"/>
    <w:basedOn w:val="741"/>
    <w:next w:val="954"/>
    <w:uiPriority w:val="34"/>
    <w:qFormat/>
    <w:pPr>
      <w:ind w:firstLine="420"/>
    </w:pPr>
    <w:rPr>
      <w:color w:val="000000"/>
      <w:szCs w:val="21"/>
    </w:rPr>
  </w:style>
  <w:style w:type="paragraph" w:styleId="954">
    <w:name w:val="List Paragraph"/>
    <w:basedOn w:val="741"/>
    <w:uiPriority w:val="1"/>
    <w:qFormat/>
    <w:pPr>
      <w:ind w:firstLine="420"/>
    </w:pPr>
  </w:style>
  <w:style w:type="paragraph" w:styleId="955" w:customStyle="1">
    <w:name w:val="BodyTextIndent1"/>
    <w:basedOn w:val="741"/>
    <w:next w:val="936"/>
    <w:uiPriority w:val="0"/>
    <w:qFormat/>
    <w:pPr>
      <w:ind w:left="420"/>
      <w:spacing w:after="120"/>
    </w:pPr>
  </w:style>
  <w:style w:type="paragraph" w:styleId="956" w:customStyle="1">
    <w:name w:val="179"/>
    <w:basedOn w:val="741"/>
    <w:uiPriority w:val="0"/>
    <w:qFormat/>
    <w:pPr>
      <w:ind w:firstLine="420"/>
      <w:jc w:val="left"/>
      <w:widowControl/>
    </w:pPr>
    <w:rPr>
      <w:rFonts w:ascii="宋体" w:hAnsi="宋体"/>
      <w:sz w:val="24"/>
    </w:rPr>
  </w:style>
  <w:style w:type="paragraph" w:styleId="957" w:customStyle="1">
    <w:name w:val="p0"/>
    <w:basedOn w:val="741"/>
    <w:uiPriority w:val="0"/>
    <w:qFormat/>
    <w:pPr>
      <w:widowControl/>
    </w:pPr>
    <w:rPr>
      <w:szCs w:val="21"/>
    </w:rPr>
  </w:style>
  <w:style w:type="paragraph" w:styleId="95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59" w:customStyle="1">
    <w:name w:val="UserStyle_133"/>
    <w:basedOn w:val="741"/>
    <w:uiPriority w:val="0"/>
    <w:qFormat/>
    <w:pPr>
      <w:widowControl/>
    </w:pPr>
    <w:rPr>
      <w:rFonts w:ascii="Tahoma" w:hAnsi="Tahoma"/>
      <w:sz w:val="24"/>
    </w:rPr>
  </w:style>
  <w:style w:type="paragraph" w:styleId="960" w:customStyle="1">
    <w:name w:val="BodyText1I21"/>
    <w:basedOn w:val="741"/>
    <w:uiPriority w:val="0"/>
    <w:qFormat/>
    <w:pPr>
      <w:ind w:firstLine="420"/>
      <w:spacing w:line="360" w:lineRule="auto"/>
      <w:widowControl/>
    </w:pPr>
    <w:rPr>
      <w:rFonts w:ascii="宋体" w:hAnsi="宋体"/>
      <w:sz w:val="20"/>
      <w:szCs w:val="20"/>
    </w:rPr>
  </w:style>
  <w:style w:type="paragraph" w:styleId="961" w:customStyle="1">
    <w:name w:val="*正文-表格"/>
    <w:basedOn w:val="741"/>
    <w:uiPriority w:val="0"/>
    <w:qFormat/>
    <w:rPr>
      <w:sz w:val="24"/>
      <w:szCs w:val="20"/>
    </w:rPr>
  </w:style>
  <w:style w:type="paragraph" w:styleId="962" w:customStyle="1">
    <w:name w:val="UserStyle_0"/>
    <w:next w:val="963"/>
    <w:uiPriority w:val="0"/>
    <w:qFormat/>
    <w:rPr>
      <w:rFonts w:hint="default" w:ascii="Times New Roman" w:hAnsi="Times New Roman" w:eastAsia="宋体" w:cs="Times New Roman"/>
      <w:color w:val="000000"/>
      <w:sz w:val="24"/>
      <w:szCs w:val="24"/>
      <w:lang w:val="en-US" w:eastAsia="zh-CN" w:bidi="ar-SA"/>
    </w:rPr>
  </w:style>
  <w:style w:type="paragraph" w:styleId="963" w:customStyle="1">
    <w:name w:val="UserStyle_1"/>
    <w:uiPriority w:val="0"/>
    <w:qFormat/>
    <w:pPr>
      <w:spacing w:line="300" w:lineRule="auto"/>
    </w:pPr>
    <w:rPr>
      <w:rFonts w:hint="default" w:ascii="Arial" w:hAnsi="Arial" w:eastAsia="宋体" w:cs="Times New Roman"/>
      <w:sz w:val="21"/>
      <w:szCs w:val="21"/>
      <w:lang w:val="en-US" w:eastAsia="zh-CN" w:bidi="ar-SA"/>
    </w:rPr>
  </w:style>
  <w:style w:type="paragraph" w:styleId="964" w:customStyle="1">
    <w:name w:val="投标文件正文"/>
    <w:basedOn w:val="741"/>
    <w:uiPriority w:val="0"/>
    <w:qFormat/>
    <w:pPr>
      <w:ind w:firstLine="200"/>
      <w:spacing w:before="40" w:after="40" w:line="400" w:lineRule="exact"/>
    </w:pPr>
    <w:rPr>
      <w:sz w:val="24"/>
    </w:rPr>
  </w:style>
  <w:style w:type="paragraph" w:styleId="965" w:customStyle="1">
    <w:name w:val="TOC 标题11"/>
    <w:uiPriority w:val="39"/>
    <w:qFormat/>
    <w:rPr>
      <w:rFonts w:hint="default" w:ascii="Times New Roman" w:hAnsi="Times New Roman" w:eastAsia="宋体" w:cs="Times New Roman"/>
      <w:lang w:val="en-US" w:eastAsia="zh-CN" w:bidi="ar-SA"/>
    </w:rPr>
  </w:style>
  <w:style w:type="table" w:styleId="966" w:customStyle="1">
    <w:name w:val="List Table 3 - Accent 1"/>
    <w:basedOn w:val="813"/>
    <w:uiPriority w:val="99"/>
    <w:qFormat/>
    <w:tblPr/>
  </w:style>
  <w:style w:type="table" w:styleId="967" w:customStyle="1">
    <w:name w:val="Bordered &amp; Lined - Accent 3"/>
    <w:basedOn w:val="813"/>
    <w:uiPriority w:val="99"/>
    <w:qFormat/>
    <w:rPr>
      <w:color w:val="404040"/>
    </w:rPr>
    <w:tblPr/>
  </w:style>
  <w:style w:type="table" w:styleId="968" w:customStyle="1">
    <w:name w:val="List Table 2 - Accent 1"/>
    <w:basedOn w:val="813"/>
    <w:uiPriority w:val="99"/>
    <w:qFormat/>
    <w:tblPr/>
  </w:style>
  <w:style w:type="table" w:styleId="969" w:customStyle="1">
    <w:name w:val="网格型1"/>
    <w:basedOn w:val="813"/>
    <w:uiPriority w:val="39"/>
    <w:qFormat/>
    <w:tblPr/>
  </w:style>
  <w:style w:type="table" w:styleId="970" w:customStyle="1">
    <w:name w:val="Grid Table 5 Dark- Accent 1"/>
    <w:basedOn w:val="813"/>
    <w:uiPriority w:val="99"/>
    <w:qFormat/>
    <w:tblPr/>
  </w:style>
  <w:style w:type="table" w:styleId="971" w:customStyle="1">
    <w:name w:val="Grid Table 3 - Accent 1"/>
    <w:basedOn w:val="813"/>
    <w:uiPriority w:val="99"/>
    <w:qFormat/>
    <w:tblPr/>
  </w:style>
  <w:style w:type="table" w:styleId="972" w:customStyle="1">
    <w:name w:val="Lined - Accent 3"/>
    <w:basedOn w:val="813"/>
    <w:uiPriority w:val="99"/>
    <w:qFormat/>
    <w:rPr>
      <w:color w:val="404040"/>
    </w:rPr>
    <w:tblPr/>
  </w:style>
  <w:style w:type="table" w:styleId="973" w:customStyle="1">
    <w:name w:val="List Table 7 Colorful - Accent 4"/>
    <w:basedOn w:val="813"/>
    <w:uiPriority w:val="99"/>
    <w:qFormat/>
    <w:tblPr/>
  </w:style>
  <w:style w:type="table" w:styleId="974" w:customStyle="1">
    <w:name w:val="List Table 2 - Accent 5"/>
    <w:basedOn w:val="813"/>
    <w:uiPriority w:val="99"/>
    <w:qFormat/>
    <w:tblPr/>
  </w:style>
  <w:style w:type="table" w:styleId="975" w:customStyle="1">
    <w:name w:val="Grid Table 1 Light - Accent 2"/>
    <w:basedOn w:val="813"/>
    <w:uiPriority w:val="99"/>
    <w:qFormat/>
    <w:tblPr/>
  </w:style>
  <w:style w:type="table" w:styleId="976" w:customStyle="1">
    <w:name w:val="List Table 4 - Accent 6"/>
    <w:basedOn w:val="813"/>
    <w:uiPriority w:val="99"/>
    <w:qFormat/>
    <w:tblPr/>
  </w:style>
  <w:style w:type="table" w:styleId="977" w:customStyle="1">
    <w:name w:val="List Table 4 - Accent 3"/>
    <w:basedOn w:val="813"/>
    <w:uiPriority w:val="99"/>
    <w:qFormat/>
    <w:tblPr/>
  </w:style>
  <w:style w:type="table" w:styleId="978" w:customStyle="1">
    <w:name w:val="Bordered - Accent 5"/>
    <w:basedOn w:val="813"/>
    <w:uiPriority w:val="99"/>
    <w:qFormat/>
    <w:tblPr/>
  </w:style>
  <w:style w:type="table" w:styleId="979" w:customStyle="1">
    <w:name w:val="Grid Table 6 Colorful - Accent 6"/>
    <w:basedOn w:val="813"/>
    <w:uiPriority w:val="99"/>
    <w:qFormat/>
    <w:tblPr/>
  </w:style>
  <w:style w:type="table" w:styleId="980" w:customStyle="1">
    <w:name w:val="Grid Table 2 - Accent 1"/>
    <w:basedOn w:val="813"/>
    <w:uiPriority w:val="99"/>
    <w:qFormat/>
    <w:tblPr/>
  </w:style>
  <w:style w:type="table" w:styleId="981" w:customStyle="1">
    <w:name w:val="Grid Table 5 Dark - Accent 3"/>
    <w:basedOn w:val="813"/>
    <w:uiPriority w:val="99"/>
    <w:qFormat/>
    <w:tblPr/>
  </w:style>
  <w:style w:type="table" w:styleId="982" w:customStyle="1">
    <w:name w:val="Grid Table 7 Colorful - Accent 3"/>
    <w:basedOn w:val="813"/>
    <w:uiPriority w:val="99"/>
    <w:qFormat/>
    <w:tblPr/>
  </w:style>
  <w:style w:type="table" w:styleId="983" w:customStyle="1">
    <w:name w:val="Grid Table 4 - Accent 2"/>
    <w:basedOn w:val="813"/>
    <w:uiPriority w:val="59"/>
    <w:qFormat/>
    <w:tblPr/>
  </w:style>
  <w:style w:type="table" w:styleId="984" w:customStyle="1">
    <w:name w:val="List Table 3 - Accent 6"/>
    <w:basedOn w:val="813"/>
    <w:uiPriority w:val="99"/>
    <w:qFormat/>
    <w:tblPr/>
  </w:style>
  <w:style w:type="table" w:styleId="985" w:customStyle="1">
    <w:name w:val="Bordered &amp; Lined - Accent 4"/>
    <w:basedOn w:val="813"/>
    <w:uiPriority w:val="99"/>
    <w:qFormat/>
    <w:rPr>
      <w:color w:val="404040"/>
    </w:rPr>
    <w:tblPr/>
  </w:style>
  <w:style w:type="table" w:styleId="986" w:customStyle="1">
    <w:name w:val="List Table 2 - Accent 4"/>
    <w:basedOn w:val="813"/>
    <w:uiPriority w:val="99"/>
    <w:qFormat/>
    <w:tblPr/>
  </w:style>
  <w:style w:type="table" w:styleId="987" w:customStyle="1">
    <w:name w:val="List Table 7 Colorful - Accent 2"/>
    <w:basedOn w:val="813"/>
    <w:uiPriority w:val="99"/>
    <w:qFormat/>
    <w:tblPr/>
  </w:style>
  <w:style w:type="table" w:styleId="988" w:customStyle="1">
    <w:name w:val="Grid Table 4 - Accent 1"/>
    <w:basedOn w:val="813"/>
    <w:uiPriority w:val="59"/>
    <w:qFormat/>
    <w:tblPr/>
  </w:style>
  <w:style w:type="table" w:styleId="989" w:customStyle="1">
    <w:name w:val="List Table 1 Light - Accent 2"/>
    <w:basedOn w:val="813"/>
    <w:uiPriority w:val="99"/>
    <w:qFormat/>
    <w:tblPr/>
  </w:style>
  <w:style w:type="table" w:styleId="990" w:customStyle="1">
    <w:name w:val="Lined - Accent 5"/>
    <w:basedOn w:val="813"/>
    <w:uiPriority w:val="99"/>
    <w:qFormat/>
    <w:rPr>
      <w:color w:val="404040"/>
    </w:rPr>
    <w:tblPr/>
  </w:style>
  <w:style w:type="table" w:styleId="991" w:customStyle="1">
    <w:name w:val="Grid Table 4 - Accent 5"/>
    <w:basedOn w:val="813"/>
    <w:uiPriority w:val="59"/>
    <w:qFormat/>
    <w:tblPr/>
  </w:style>
  <w:style w:type="table" w:styleId="992" w:customStyle="1">
    <w:name w:val="List Table 6 Colorful - Accent 6"/>
    <w:basedOn w:val="813"/>
    <w:uiPriority w:val="99"/>
    <w:qFormat/>
    <w:tblPr/>
  </w:style>
  <w:style w:type="table" w:styleId="993" w:customStyle="1">
    <w:name w:val="List Table 6 Colorful - Accent 3"/>
    <w:basedOn w:val="813"/>
    <w:uiPriority w:val="99"/>
    <w:qFormat/>
    <w:tblPr/>
  </w:style>
  <w:style w:type="table" w:styleId="994" w:customStyle="1">
    <w:name w:val="Grid Table 4 - Accent 3"/>
    <w:basedOn w:val="813"/>
    <w:uiPriority w:val="59"/>
    <w:qFormat/>
    <w:tblPr/>
  </w:style>
  <w:style w:type="table" w:styleId="995" w:customStyle="1">
    <w:name w:val="Grid Table 3 - Accent 6"/>
    <w:basedOn w:val="813"/>
    <w:uiPriority w:val="99"/>
    <w:qFormat/>
    <w:tblPr/>
  </w:style>
  <w:style w:type="table" w:styleId="996" w:customStyle="1">
    <w:name w:val="Grid Table 6 Colorful - Accent 1"/>
    <w:basedOn w:val="813"/>
    <w:uiPriority w:val="99"/>
    <w:qFormat/>
    <w:tblPr/>
  </w:style>
  <w:style w:type="table" w:styleId="997" w:customStyle="1">
    <w:name w:val="List Table 6 Colorful - Accent 4"/>
    <w:basedOn w:val="813"/>
    <w:uiPriority w:val="99"/>
    <w:qFormat/>
    <w:tblPr/>
  </w:style>
  <w:style w:type="table" w:styleId="998" w:customStyle="1">
    <w:name w:val="List Table 4 - Accent 4"/>
    <w:basedOn w:val="813"/>
    <w:uiPriority w:val="99"/>
    <w:qFormat/>
    <w:tblPr/>
  </w:style>
  <w:style w:type="table" w:styleId="999" w:customStyle="1">
    <w:name w:val="Grid Table 5 Dark - Accent 5"/>
    <w:basedOn w:val="813"/>
    <w:uiPriority w:val="99"/>
    <w:qFormat/>
    <w:tblPr/>
  </w:style>
  <w:style w:type="table" w:styleId="1000" w:customStyle="1">
    <w:name w:val="Lined - Accent 6"/>
    <w:basedOn w:val="813"/>
    <w:uiPriority w:val="99"/>
    <w:qFormat/>
    <w:rPr>
      <w:color w:val="404040"/>
    </w:rPr>
    <w:tblPr/>
  </w:style>
  <w:style w:type="table" w:styleId="1001" w:customStyle="1">
    <w:name w:val="List Table 5 Dark - Accent 4"/>
    <w:basedOn w:val="813"/>
    <w:uiPriority w:val="99"/>
    <w:qFormat/>
    <w:tblPr/>
  </w:style>
  <w:style w:type="table" w:styleId="1002" w:customStyle="1">
    <w:name w:val="Grid Table 2 - Accent 5"/>
    <w:basedOn w:val="813"/>
    <w:uiPriority w:val="99"/>
    <w:qFormat/>
    <w:tblPr/>
  </w:style>
  <w:style w:type="table" w:styleId="1003" w:customStyle="1">
    <w:name w:val="List Table 1 Light - Accent 1"/>
    <w:basedOn w:val="813"/>
    <w:uiPriority w:val="99"/>
    <w:qFormat/>
    <w:tblPr/>
  </w:style>
  <w:style w:type="table" w:styleId="1004" w:customStyle="1">
    <w:name w:val="List Table 3 - Accent 2"/>
    <w:basedOn w:val="813"/>
    <w:uiPriority w:val="99"/>
    <w:qFormat/>
    <w:tblPr/>
  </w:style>
  <w:style w:type="table" w:styleId="1005" w:customStyle="1">
    <w:name w:val="List Table 7 Colorful - Accent 5"/>
    <w:basedOn w:val="813"/>
    <w:uiPriority w:val="99"/>
    <w:qFormat/>
    <w:tblPr/>
  </w:style>
  <w:style w:type="table" w:styleId="1006" w:customStyle="1">
    <w:name w:val="List Table 3 - Accent 3"/>
    <w:basedOn w:val="813"/>
    <w:uiPriority w:val="99"/>
    <w:qFormat/>
    <w:tblPr/>
  </w:style>
  <w:style w:type="table" w:styleId="1007" w:customStyle="1">
    <w:name w:val="List Table 5 Dark - Accent 2"/>
    <w:basedOn w:val="813"/>
    <w:uiPriority w:val="99"/>
    <w:qFormat/>
    <w:tblPr/>
  </w:style>
  <w:style w:type="table" w:styleId="1008" w:customStyle="1">
    <w:name w:val="Grid Table 4 - Accent 4"/>
    <w:basedOn w:val="813"/>
    <w:uiPriority w:val="59"/>
    <w:qFormat/>
    <w:tblPr/>
  </w:style>
  <w:style w:type="table" w:styleId="1009" w:customStyle="1">
    <w:name w:val="Grid Table 3 - Accent 4"/>
    <w:basedOn w:val="813"/>
    <w:uiPriority w:val="99"/>
    <w:qFormat/>
    <w:tblPr/>
  </w:style>
  <w:style w:type="table" w:styleId="1010" w:customStyle="1">
    <w:name w:val="Bordered - Accent 1"/>
    <w:basedOn w:val="813"/>
    <w:uiPriority w:val="99"/>
    <w:qFormat/>
    <w:tblPr/>
  </w:style>
  <w:style w:type="table" w:styleId="1011" w:customStyle="1">
    <w:name w:val="List Table 4 - Accent 1"/>
    <w:basedOn w:val="813"/>
    <w:uiPriority w:val="99"/>
    <w:qFormat/>
    <w:tblPr/>
  </w:style>
  <w:style w:type="table" w:styleId="1012" w:customStyle="1">
    <w:name w:val="List Table 5 Dark - Accent 5"/>
    <w:basedOn w:val="813"/>
    <w:uiPriority w:val="99"/>
    <w:qFormat/>
    <w:tblPr/>
  </w:style>
  <w:style w:type="table" w:styleId="1013" w:customStyle="1">
    <w:name w:val="List Table 6 Colorful - Accent 1"/>
    <w:basedOn w:val="813"/>
    <w:uiPriority w:val="99"/>
    <w:qFormat/>
    <w:tblPr/>
  </w:style>
  <w:style w:type="table" w:styleId="1014" w:customStyle="1">
    <w:name w:val="Grid Table 4 - Accent 6"/>
    <w:basedOn w:val="813"/>
    <w:uiPriority w:val="59"/>
    <w:qFormat/>
    <w:tblPr/>
  </w:style>
  <w:style w:type="table" w:styleId="1015" w:customStyle="1">
    <w:name w:val="Grid Table 7 Colorful - Accent 4"/>
    <w:basedOn w:val="813"/>
    <w:uiPriority w:val="99"/>
    <w:qFormat/>
    <w:tblPr/>
  </w:style>
  <w:style w:type="table" w:styleId="1016" w:customStyle="1">
    <w:name w:val="List Table 6 Colorful - Accent 2"/>
    <w:basedOn w:val="813"/>
    <w:uiPriority w:val="99"/>
    <w:qFormat/>
    <w:tblPr/>
  </w:style>
  <w:style w:type="table" w:styleId="1017" w:customStyle="1">
    <w:name w:val="List Table 2 - Accent 2"/>
    <w:basedOn w:val="813"/>
    <w:uiPriority w:val="99"/>
    <w:qFormat/>
    <w:tblPr/>
  </w:style>
  <w:style w:type="table" w:styleId="1018" w:customStyle="1">
    <w:name w:val="Grid Table 1 Light - Accent 4"/>
    <w:basedOn w:val="813"/>
    <w:uiPriority w:val="99"/>
    <w:qFormat/>
    <w:tblPr/>
  </w:style>
  <w:style w:type="table" w:styleId="1019" w:customStyle="1">
    <w:name w:val="Bordered &amp; Lined - Accent 1"/>
    <w:basedOn w:val="813"/>
    <w:uiPriority w:val="99"/>
    <w:qFormat/>
    <w:rPr>
      <w:color w:val="404040"/>
    </w:rPr>
    <w:tblPr/>
  </w:style>
  <w:style w:type="table" w:styleId="1020" w:customStyle="1">
    <w:name w:val="Bordered &amp; Lined - Accent 5"/>
    <w:basedOn w:val="813"/>
    <w:uiPriority w:val="99"/>
    <w:qFormat/>
    <w:rPr>
      <w:color w:val="404040"/>
    </w:rPr>
    <w:tblPr/>
  </w:style>
  <w:style w:type="table" w:styleId="1021" w:customStyle="1">
    <w:name w:val="Grid Table 7 Colorful - Accent 1"/>
    <w:basedOn w:val="813"/>
    <w:uiPriority w:val="99"/>
    <w:qFormat/>
    <w:tblPr/>
  </w:style>
  <w:style w:type="table" w:styleId="1022" w:customStyle="1">
    <w:name w:val="Grid Table 5 Dark- Accent 4"/>
    <w:basedOn w:val="813"/>
    <w:uiPriority w:val="99"/>
    <w:qFormat/>
    <w:tblPr/>
  </w:style>
  <w:style w:type="table" w:styleId="1023" w:customStyle="1">
    <w:name w:val="Grid Table 5 Dark - Accent 2"/>
    <w:basedOn w:val="813"/>
    <w:uiPriority w:val="99"/>
    <w:qFormat/>
    <w:tblPr/>
  </w:style>
  <w:style w:type="table" w:styleId="1024" w:customStyle="1">
    <w:name w:val="Grid Table 2 - Accent 4"/>
    <w:basedOn w:val="813"/>
    <w:uiPriority w:val="99"/>
    <w:qFormat/>
    <w:tblPr/>
  </w:style>
  <w:style w:type="table" w:styleId="1025" w:customStyle="1">
    <w:name w:val="Lined - Accent 4"/>
    <w:basedOn w:val="813"/>
    <w:uiPriority w:val="99"/>
    <w:qFormat/>
    <w:rPr>
      <w:color w:val="404040"/>
    </w:rPr>
    <w:tblPr/>
  </w:style>
  <w:style w:type="table" w:styleId="1026" w:customStyle="1">
    <w:name w:val="Bordered &amp; Lined - Accent 2"/>
    <w:basedOn w:val="813"/>
    <w:uiPriority w:val="99"/>
    <w:qFormat/>
    <w:rPr>
      <w:color w:val="404040"/>
    </w:rPr>
    <w:tblPr/>
  </w:style>
  <w:style w:type="table" w:styleId="1027" w:customStyle="1">
    <w:name w:val="List Table 4 - Accent 2"/>
    <w:basedOn w:val="813"/>
    <w:uiPriority w:val="99"/>
    <w:qFormat/>
    <w:tblPr/>
  </w:style>
  <w:style w:type="table" w:styleId="1028" w:customStyle="1">
    <w:name w:val="Grid Table 2 - Accent 3"/>
    <w:basedOn w:val="813"/>
    <w:uiPriority w:val="99"/>
    <w:qFormat/>
    <w:tblPr/>
  </w:style>
  <w:style w:type="table" w:styleId="1029" w:customStyle="1">
    <w:name w:val="List Table 4 - Accent 5"/>
    <w:basedOn w:val="813"/>
    <w:uiPriority w:val="99"/>
    <w:qFormat/>
    <w:tblPr/>
  </w:style>
  <w:style w:type="table" w:styleId="1030" w:customStyle="1">
    <w:name w:val="Bordered - Accent 6"/>
    <w:basedOn w:val="813"/>
    <w:uiPriority w:val="99"/>
    <w:qFormat/>
    <w:tblPr/>
  </w:style>
  <w:style w:type="table" w:styleId="1031" w:customStyle="1">
    <w:name w:val="Grid Table 3 - Accent 3"/>
    <w:basedOn w:val="813"/>
    <w:uiPriority w:val="99"/>
    <w:qFormat/>
    <w:tblPr/>
  </w:style>
  <w:style w:type="table" w:styleId="1032" w:customStyle="1">
    <w:name w:val="Bordered - Accent 3"/>
    <w:basedOn w:val="813"/>
    <w:uiPriority w:val="99"/>
    <w:qFormat/>
    <w:tblPr/>
  </w:style>
  <w:style w:type="table" w:styleId="1033" w:customStyle="1">
    <w:name w:val="List Table 5 Dark - Accent 1"/>
    <w:basedOn w:val="813"/>
    <w:uiPriority w:val="99"/>
    <w:qFormat/>
    <w:tblPr/>
  </w:style>
  <w:style w:type="table" w:styleId="1034" w:customStyle="1">
    <w:name w:val="Bordered - Accent 2"/>
    <w:basedOn w:val="813"/>
    <w:uiPriority w:val="99"/>
    <w:qFormat/>
    <w:tblPr/>
  </w:style>
  <w:style w:type="table" w:styleId="1035" w:customStyle="1">
    <w:name w:val="Bordered"/>
    <w:basedOn w:val="813"/>
    <w:uiPriority w:val="99"/>
    <w:qFormat/>
    <w:tblPr/>
  </w:style>
  <w:style w:type="table" w:styleId="1036" w:customStyle="1">
    <w:name w:val="List Table 3 - Accent 4"/>
    <w:basedOn w:val="813"/>
    <w:uiPriority w:val="99"/>
    <w:qFormat/>
    <w:tblPr/>
  </w:style>
  <w:style w:type="table" w:styleId="1037" w:customStyle="1">
    <w:name w:val="List Table 5 Dark - Accent 3"/>
    <w:basedOn w:val="813"/>
    <w:uiPriority w:val="99"/>
    <w:qFormat/>
    <w:tblPr/>
  </w:style>
  <w:style w:type="table" w:styleId="1038" w:customStyle="1">
    <w:name w:val="Grid Table 1 Light - Accent 5"/>
    <w:basedOn w:val="813"/>
    <w:uiPriority w:val="99"/>
    <w:qFormat/>
    <w:tblPr/>
  </w:style>
  <w:style w:type="table" w:styleId="1039" w:customStyle="1">
    <w:name w:val="List Table 7 Colorful - Accent 3"/>
    <w:basedOn w:val="813"/>
    <w:uiPriority w:val="99"/>
    <w:qFormat/>
    <w:tblPr/>
  </w:style>
  <w:style w:type="table" w:styleId="1040" w:customStyle="1">
    <w:name w:val="Grid Table 6 Colorful - Accent 5"/>
    <w:basedOn w:val="813"/>
    <w:uiPriority w:val="99"/>
    <w:qFormat/>
    <w:tblPr/>
  </w:style>
  <w:style w:type="table" w:styleId="1041" w:customStyle="1">
    <w:name w:val="Grid Table 1 Light - Accent 3"/>
    <w:basedOn w:val="813"/>
    <w:uiPriority w:val="99"/>
    <w:qFormat/>
    <w:tblPr/>
  </w:style>
  <w:style w:type="table" w:styleId="1042" w:customStyle="1">
    <w:name w:val="Bordered &amp; Lined - Accent 6"/>
    <w:basedOn w:val="813"/>
    <w:uiPriority w:val="99"/>
    <w:qFormat/>
    <w:rPr>
      <w:color w:val="404040"/>
    </w:rPr>
    <w:tblPr/>
  </w:style>
  <w:style w:type="table" w:styleId="1043" w:customStyle="1">
    <w:name w:val="List Table 7 Colorful - Accent 1"/>
    <w:basedOn w:val="813"/>
    <w:uiPriority w:val="99"/>
    <w:qFormat/>
    <w:tblPr/>
  </w:style>
  <w:style w:type="table" w:styleId="1044" w:customStyle="1">
    <w:name w:val="List Table 7 Colorful - Accent 6"/>
    <w:basedOn w:val="813"/>
    <w:uiPriority w:val="99"/>
    <w:qFormat/>
    <w:tblPr/>
  </w:style>
  <w:style w:type="table" w:styleId="1045" w:customStyle="1">
    <w:name w:val="Grid Table 7 Colorful - Accent 6"/>
    <w:basedOn w:val="813"/>
    <w:uiPriority w:val="99"/>
    <w:qFormat/>
    <w:tblPr/>
  </w:style>
  <w:style w:type="table" w:styleId="1046" w:customStyle="1">
    <w:name w:val="Grid Table 1 Light - Accent 1"/>
    <w:basedOn w:val="813"/>
    <w:uiPriority w:val="99"/>
    <w:qFormat/>
    <w:tblPr/>
  </w:style>
  <w:style w:type="table" w:styleId="1047" w:customStyle="1">
    <w:name w:val="Grid Table 6 Colorful - Accent 2"/>
    <w:basedOn w:val="813"/>
    <w:uiPriority w:val="99"/>
    <w:qFormat/>
    <w:tblPr/>
  </w:style>
  <w:style w:type="table" w:styleId="1048" w:customStyle="1">
    <w:name w:val="List Table 1 Light - Accent 4"/>
    <w:basedOn w:val="813"/>
    <w:uiPriority w:val="99"/>
    <w:qFormat/>
    <w:tblPr/>
  </w:style>
  <w:style w:type="table" w:styleId="1049" w:customStyle="1">
    <w:name w:val="Lined - Accent 1"/>
    <w:basedOn w:val="813"/>
    <w:uiPriority w:val="99"/>
    <w:qFormat/>
    <w:rPr>
      <w:color w:val="404040"/>
    </w:rPr>
    <w:tblPr/>
  </w:style>
  <w:style w:type="table" w:styleId="1050" w:customStyle="1">
    <w:name w:val="List Table 2 - Accent 3"/>
    <w:basedOn w:val="813"/>
    <w:uiPriority w:val="99"/>
    <w:qFormat/>
    <w:tblPr/>
  </w:style>
  <w:style w:type="table" w:styleId="1051" w:customStyle="1">
    <w:name w:val="Lined - Accent 2"/>
    <w:basedOn w:val="813"/>
    <w:uiPriority w:val="99"/>
    <w:qFormat/>
    <w:rPr>
      <w:color w:val="404040"/>
    </w:rPr>
    <w:tblPr/>
  </w:style>
  <w:style w:type="table" w:styleId="1052" w:customStyle="1">
    <w:name w:val="Grid Table 1 Light - Accent 6"/>
    <w:basedOn w:val="813"/>
    <w:uiPriority w:val="99"/>
    <w:qFormat/>
    <w:tblPr/>
  </w:style>
  <w:style w:type="table" w:styleId="1053" w:customStyle="1">
    <w:name w:val="Bordered - Accent 4"/>
    <w:basedOn w:val="813"/>
    <w:uiPriority w:val="99"/>
    <w:qFormat/>
    <w:tblPr/>
  </w:style>
  <w:style w:type="table" w:styleId="1054" w:customStyle="1">
    <w:name w:val="Lined - Accent"/>
    <w:basedOn w:val="813"/>
    <w:uiPriority w:val="99"/>
    <w:qFormat/>
    <w:rPr>
      <w:color w:val="404040"/>
    </w:rPr>
    <w:tblPr/>
  </w:style>
  <w:style w:type="table" w:styleId="1055" w:customStyle="1">
    <w:name w:val="Grid Table 3 - Accent 5"/>
    <w:basedOn w:val="813"/>
    <w:uiPriority w:val="99"/>
    <w:qFormat/>
    <w:tblPr/>
  </w:style>
  <w:style w:type="table" w:styleId="1056" w:customStyle="1">
    <w:name w:val="Grid Table 6 Colorful - Accent 4"/>
    <w:basedOn w:val="813"/>
    <w:uiPriority w:val="99"/>
    <w:qFormat/>
    <w:tblPr/>
  </w:style>
  <w:style w:type="table" w:styleId="1057" w:customStyle="1">
    <w:name w:val="Grid Table 6 Colorful - Accent 3"/>
    <w:basedOn w:val="813"/>
    <w:uiPriority w:val="99"/>
    <w:qFormat/>
    <w:tblPr/>
  </w:style>
  <w:style w:type="table" w:styleId="1058" w:customStyle="1">
    <w:name w:val="Table Grid Light"/>
    <w:basedOn w:val="813"/>
    <w:uiPriority w:val="59"/>
    <w:qFormat/>
    <w:tblPr/>
  </w:style>
  <w:style w:type="table" w:styleId="1059" w:customStyle="1">
    <w:name w:val="List Table 3 - Accent 5"/>
    <w:basedOn w:val="813"/>
    <w:uiPriority w:val="99"/>
    <w:qFormat/>
    <w:tblPr/>
  </w:style>
  <w:style w:type="table" w:styleId="1060" w:customStyle="1">
    <w:name w:val="List Table 1 Light - Accent 3"/>
    <w:basedOn w:val="813"/>
    <w:uiPriority w:val="99"/>
    <w:qFormat/>
    <w:tblPr/>
  </w:style>
  <w:style w:type="table" w:styleId="1061" w:customStyle="1">
    <w:name w:val="Grid Table 5 Dark - Accent 6"/>
    <w:basedOn w:val="813"/>
    <w:uiPriority w:val="99"/>
    <w:qFormat/>
    <w:tblPr/>
  </w:style>
  <w:style w:type="table" w:styleId="1062" w:customStyle="1">
    <w:name w:val="List Table 2 - Accent 6"/>
    <w:basedOn w:val="813"/>
    <w:uiPriority w:val="99"/>
    <w:qFormat/>
    <w:tblPr/>
  </w:style>
  <w:style w:type="table" w:styleId="1063" w:customStyle="1">
    <w:name w:val="Grid Table 2 - Accent 2"/>
    <w:basedOn w:val="813"/>
    <w:uiPriority w:val="99"/>
    <w:qFormat/>
    <w:tblPr/>
  </w:style>
  <w:style w:type="table" w:styleId="1064" w:customStyle="1">
    <w:name w:val="List Table 1 Light - Accent 5"/>
    <w:basedOn w:val="813"/>
    <w:uiPriority w:val="99"/>
    <w:qFormat/>
    <w:tblPr/>
  </w:style>
  <w:style w:type="table" w:styleId="1065" w:customStyle="1">
    <w:name w:val="List Table 5 Dark - Accent 6"/>
    <w:basedOn w:val="813"/>
    <w:uiPriority w:val="99"/>
    <w:qFormat/>
    <w:tblPr/>
  </w:style>
  <w:style w:type="table" w:styleId="1066" w:customStyle="1">
    <w:name w:val="Grid Table 7 Colorful - Accent 5"/>
    <w:basedOn w:val="813"/>
    <w:uiPriority w:val="99"/>
    <w:qFormat/>
    <w:tblPr/>
  </w:style>
  <w:style w:type="table" w:styleId="1067" w:customStyle="1">
    <w:name w:val="Grid Table 3 - Accent 2"/>
    <w:basedOn w:val="813"/>
    <w:uiPriority w:val="99"/>
    <w:qFormat/>
    <w:tblPr/>
  </w:style>
  <w:style w:type="table" w:styleId="1068" w:customStyle="1">
    <w:name w:val="List Table 6 Colorful - Accent 5"/>
    <w:basedOn w:val="813"/>
    <w:uiPriority w:val="99"/>
    <w:qFormat/>
    <w:tblPr/>
  </w:style>
  <w:style w:type="table" w:styleId="1069" w:customStyle="1">
    <w:name w:val="Bordered &amp; Lined - Accent"/>
    <w:basedOn w:val="813"/>
    <w:uiPriority w:val="99"/>
    <w:qFormat/>
    <w:rPr>
      <w:color w:val="404040"/>
    </w:rPr>
    <w:tblPr/>
  </w:style>
  <w:style w:type="table" w:styleId="1070" w:customStyle="1">
    <w:name w:val="Grid Table 2 - Accent 6"/>
    <w:basedOn w:val="813"/>
    <w:uiPriority w:val="99"/>
    <w:qFormat/>
    <w:tblPr/>
  </w:style>
  <w:style w:type="table" w:styleId="1071" w:customStyle="1">
    <w:name w:val="List Table 1 Light - Accent 6"/>
    <w:basedOn w:val="813"/>
    <w:uiPriority w:val="99"/>
    <w:qFormat/>
    <w:tblPr/>
  </w:style>
  <w:style w:type="table" w:styleId="1072" w:customStyle="1">
    <w:name w:val="Grid Table 7 Colorful - Accent 2"/>
    <w:basedOn w:val="813"/>
    <w:uiPriority w:val="99"/>
    <w:qFormat/>
    <w:tblPr/>
  </w:style>
  <w:style w:type="character" w:styleId="1073" w:customStyle="1">
    <w:name w:val="NormalCharacter"/>
    <w:uiPriority w:val="0"/>
    <w:qFormat/>
    <w:rPr>
      <w:sz w:val="28"/>
      <w:lang w:val="en-US" w:eastAsia="zh-CN" w:bidi="ar-SA"/>
    </w:rPr>
  </w:style>
  <w:style w:type="paragraph" w:styleId="1074" w:customStyle="1">
    <w:name w:val="修订1"/>
    <w:uiPriority w:val="99"/>
    <w:qFormat/>
    <w:rPr>
      <w:rFonts w:hint="default" w:ascii="Times New Roman" w:hAnsi="Times New Roman" w:eastAsia="宋体" w:cs="Times New Roman"/>
      <w:sz w:val="21"/>
      <w:szCs w:val="24"/>
      <w:lang w:val="en-US" w:eastAsia="zh-CN" w:bidi="ar-SA"/>
    </w:rPr>
  </w:style>
  <w:style w:type="character" w:styleId="1075" w:customStyle="1">
    <w:name w:val="NormalCharacter11"/>
    <w:uiPriority w:val="0"/>
    <w:qFormat/>
    <w:rPr>
      <w:rFonts w:hint="default" w:ascii="Times New Roman" w:hAnsi="Times New Roman" w:eastAsia="宋体" w:cs="Times New Roman"/>
      <w:sz w:val="21"/>
      <w:szCs w:val="24"/>
      <w:lang w:val="en-US" w:eastAsia="zh-CN" w:bidi="ar-SA"/>
    </w:rPr>
  </w:style>
  <w:style w:type="paragraph" w:styleId="1076" w:customStyle="1">
    <w:name w:val="索引 41"/>
    <w:next w:val="945"/>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character" w:styleId="1077" w:customStyle="1">
    <w:name w:val="批注框文本 字符"/>
    <w:basedOn w:val="751"/>
    <w:link w:val="768"/>
    <w:uiPriority w:val="99"/>
    <w:qFormat/>
    <w:rPr>
      <w:sz w:val="18"/>
      <w:szCs w:val="18"/>
    </w:rPr>
  </w:style>
  <w:style w:type="character" w:styleId="1078" w:customStyle="1">
    <w:name w:val="批注文字 字符"/>
    <w:basedOn w:val="751"/>
    <w:link w:val="759"/>
    <w:uiPriority w:val="99"/>
    <w:qFormat/>
    <w:rPr>
      <w:sz w:val="21"/>
      <w:szCs w:val="24"/>
    </w:rPr>
  </w:style>
  <w:style w:type="character" w:styleId="1079" w:customStyle="1">
    <w:name w:val="批注主题 字符"/>
    <w:basedOn w:val="1078"/>
    <w:link w:val="782"/>
    <w:uiPriority w:val="0"/>
    <w:qFormat/>
    <w:rPr>
      <w:sz w:val="21"/>
      <w:szCs w:val="24"/>
    </w:rPr>
  </w:style>
  <w:style w:type="table" w:styleId="1080" w:customStyle="1">
    <w:name w:val="Table Normal"/>
    <w:uiPriority w:val="2"/>
    <w:qFormat/>
    <w:pPr>
      <w:widowControl w:val="off"/>
    </w:pPr>
    <w:rPr>
      <w:rFonts w:ascii="等线" w:hAnsi="等线" w:eastAsia="等线" w:cs="宋体"/>
      <w:sz w:val="22"/>
      <w:lang w:eastAsia="en-US"/>
    </w:rPr>
    <w:tblPr>
      <w:tblCellMar>
        <w:left w:w="0" w:type="dxa"/>
        <w:top w:w="0" w:type="dxa"/>
        <w:right w:w="0" w:type="dxa"/>
        <w:bottom w:w="0" w:type="dxa"/>
      </w:tblCellMar>
    </w:tblPr>
  </w:style>
  <w:style w:type="paragraph" w:styleId="1081" w:customStyle="1">
    <w:name w:val="Table Text"/>
    <w:basedOn w:val="741"/>
    <w:uiPriority w:val="0"/>
    <w:qFormat/>
    <w:rPr>
      <w:rFonts w:ascii="Arial" w:hAnsi="Arial" w:eastAsia="Arial" w:cs="Arial"/>
      <w:szCs w:val="21"/>
      <w:lang w:eastAsia="en-US"/>
    </w:rPr>
  </w:style>
  <w:style w:type="paragraph" w:styleId="1082" w:customStyle="1">
    <w:name w:val="无间隔2"/>
    <w:basedOn w:val="741"/>
    <w:uiPriority w:val="0"/>
    <w:qFormat/>
    <w:pPr>
      <w:spacing w:line="400" w:lineRule="exact"/>
    </w:pPr>
    <w:rPr>
      <w:sz w:val="24"/>
    </w:rPr>
  </w:style>
  <w:style w:type="paragraph" w:styleId="1083" w:customStyle="1">
    <w:name w:val="无间隔1"/>
    <w:basedOn w:val="741"/>
    <w:uiPriority w:val="0"/>
    <w:qFormat/>
    <w:pPr>
      <w:jc w:val="left"/>
      <w:widowControl/>
    </w:pPr>
    <w:rPr>
      <w:rFonts w:ascii="Cambria" w:hAnsi="Cambria"/>
      <w:sz w:val="22"/>
      <w:szCs w:val="22"/>
      <w:lang w:eastAsia="en-US" w:bidi="en-US"/>
    </w:rPr>
  </w:style>
  <w:style w:type="paragraph" w:styleId="1084" w:customStyle="1">
    <w:name w:val="Body text|1"/>
    <w:basedOn w:val="741"/>
    <w:uiPriority w:val="0"/>
    <w:qFormat/>
    <w:pPr>
      <w:ind w:firstLine="400"/>
      <w:jc w:val="left"/>
      <w:spacing w:after="200" w:line="410" w:lineRule="auto"/>
      <w:widowControl/>
    </w:pPr>
    <w:rPr>
      <w:rFonts w:ascii="宋体" w:hAnsi="宋体" w:cs="宋体"/>
      <w:sz w:val="22"/>
      <w:szCs w:val="22"/>
      <w:lang w:val="zh-TW" w:eastAsia="zh-TW" w:bidi="zh-TW"/>
    </w:rPr>
  </w:style>
  <w:style w:type="paragraph" w:styleId="1085" w:customStyle="1">
    <w:name w:val="样式 小四"/>
    <w:uiPriority w:val="0"/>
    <w:qFormat/>
    <w:pPr>
      <w:spacing w:line="360" w:lineRule="atLeast"/>
      <w:widowControl w:val="off"/>
    </w:pPr>
    <w:rPr>
      <w:rFonts w:hint="default" w:ascii="Calibri" w:hAnsi="Calibri" w:eastAsia="宋体" w:cs="Arial"/>
      <w:sz w:val="24"/>
      <w:szCs w:val="22"/>
      <w:lang w:val="en-US" w:eastAsia="zh-CN" w:bidi="ar-SA"/>
    </w:rPr>
  </w:style>
  <w:style w:type="character" w:styleId="1086" w:customStyle="1">
    <w:name w:val="font11"/>
    <w:uiPriority w:val="0"/>
    <w:qFormat/>
    <w:rPr>
      <w:rFonts w:hint="eastAsia" w:ascii="仿宋_GB2312" w:hAnsi="Times New Roman" w:eastAsia="仿宋_GB2312" w:cs="仿宋_GB2312"/>
      <w:color w:val="000000"/>
      <w:sz w:val="21"/>
      <w:szCs w:val="21"/>
      <w:u w:val="none"/>
    </w:rPr>
  </w:style>
  <w:style w:type="paragraph" w:styleId="1087" w:customStyle="1">
    <w:name w:val="yf00正文"/>
    <w:uiPriority w:val="0"/>
    <w:qFormat/>
    <w:pPr>
      <w:ind w:firstLine="600"/>
      <w:jc w:val="both"/>
      <w:widowControl w:val="off"/>
    </w:pPr>
    <w:rPr>
      <w:rFonts w:ascii="Times New Roman" w:hAnsi="Times New Roman" w:eastAsia="宋体" w:cs="Times New Roman"/>
      <w:sz w:val="28"/>
      <w:szCs w:val="30"/>
      <w:lang w:val="en-US" w:eastAsia="zh-CN" w:bidi="ar-SA"/>
    </w:rPr>
  </w:style>
  <w:style w:type="paragraph" w:styleId="1088" w:customStyle="1">
    <w:name w:val="Other|1"/>
    <w:uiPriority w:val="0"/>
    <w:qFormat/>
    <w:pPr>
      <w:jc w:val="both"/>
      <w:spacing w:line="286" w:lineRule="auto"/>
      <w:widowControl w:val="off"/>
    </w:pPr>
    <w:rPr>
      <w:rFonts w:ascii="宋体" w:hAnsi="宋体" w:eastAsia="宋体" w:cs="宋体"/>
      <w:sz w:val="26"/>
      <w:szCs w:val="26"/>
      <w:lang w:val="zh-TW" w:eastAsia="zh-TW" w:bidi="zh-TW"/>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许光停</cp:lastModifiedBy>
  <cp:revision>5</cp:revision>
  <dcterms:created xsi:type="dcterms:W3CDTF">2025-07-14T06:34:00Z</dcterms:created>
  <dcterms:modified xsi:type="dcterms:W3CDTF">2025-12-09T08:33:48Z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d8ef52d6019842b4953b3964faef881d_23</vt:lpwstr>
  </property>
  <property fmtid="{D5CDD505-2E9C-101B-9397-08002B2CF9AE}" pid="4" name="KSOTemplateDocerSaveRecord">
    <vt:lpwstr>eyJoZGlkIjoiOTNjY2VmNTVjODI5ZjhjYTkzMzc3NTJkNjM1MDlkNGEiLCJ1c2VySWQiOiI2MTQ5OTU1MzQifQ==</vt:lpwstr>
  </property>
</Properties>
</file>